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F4DC" w14:textId="77777777" w:rsidR="00403DF1" w:rsidRPr="000677F0" w:rsidRDefault="00B26915" w:rsidP="008F5FD4">
      <w:pPr>
        <w:rPr>
          <w:b/>
          <w:sz w:val="20"/>
          <w:szCs w:val="20"/>
        </w:rPr>
      </w:pPr>
      <w:r>
        <w:rPr>
          <w:b/>
          <w:sz w:val="20"/>
          <w:szCs w:val="20"/>
        </w:rPr>
        <w:t xml:space="preserve">  </w:t>
      </w:r>
      <w:r w:rsidR="008F5FD4" w:rsidRPr="000677F0">
        <w:rPr>
          <w:b/>
          <w:sz w:val="20"/>
          <w:szCs w:val="20"/>
        </w:rPr>
        <w:t>NON-CONFIDENTIAL REPORT</w:t>
      </w:r>
    </w:p>
    <w:tbl>
      <w:tblPr>
        <w:tblpPr w:leftFromText="180" w:rightFromText="180" w:tblpY="396"/>
        <w:tblW w:w="9639" w:type="dxa"/>
        <w:tblLayout w:type="fixed"/>
        <w:tblLook w:val="0000" w:firstRow="0" w:lastRow="0" w:firstColumn="0" w:lastColumn="0" w:noHBand="0" w:noVBand="0"/>
      </w:tblPr>
      <w:tblGrid>
        <w:gridCol w:w="2978"/>
        <w:gridCol w:w="34"/>
        <w:gridCol w:w="390"/>
        <w:gridCol w:w="1418"/>
        <w:gridCol w:w="3683"/>
        <w:gridCol w:w="1136"/>
      </w:tblGrid>
      <w:tr w:rsidR="0069054B" w:rsidRPr="000677F0" w14:paraId="7C5FD0E2" w14:textId="77777777" w:rsidTr="003F6E94">
        <w:tc>
          <w:tcPr>
            <w:tcW w:w="9639" w:type="dxa"/>
            <w:gridSpan w:val="6"/>
          </w:tcPr>
          <w:p w14:paraId="17DC601C" w14:textId="77777777" w:rsidR="0069054B" w:rsidRPr="000677F0" w:rsidRDefault="00F0168C" w:rsidP="008F5FD4">
            <w:pPr>
              <w:rPr>
                <w:rFonts w:eastAsia="Times New Roman" w:cs="Arial"/>
                <w:sz w:val="24"/>
                <w:szCs w:val="24"/>
              </w:rPr>
            </w:pPr>
            <w:r w:rsidRPr="000677F0">
              <w:rPr>
                <w:rFonts w:eastAsia="Times New Roman" w:cs="Arial"/>
                <w:b/>
                <w:sz w:val="24"/>
                <w:szCs w:val="24"/>
              </w:rPr>
              <w:t>EAST SUSSEX FIRE AND RESCUE SERVICE</w:t>
            </w:r>
          </w:p>
        </w:tc>
      </w:tr>
      <w:tr w:rsidR="0069054B" w:rsidRPr="000677F0" w14:paraId="34FEC643" w14:textId="77777777" w:rsidTr="001A3A2D">
        <w:trPr>
          <w:trHeight w:val="80"/>
        </w:trPr>
        <w:tc>
          <w:tcPr>
            <w:tcW w:w="3012" w:type="dxa"/>
            <w:gridSpan w:val="2"/>
          </w:tcPr>
          <w:p w14:paraId="02DD6F95" w14:textId="77777777" w:rsidR="0069054B" w:rsidRPr="000677F0" w:rsidRDefault="0069054B" w:rsidP="008F5FD4">
            <w:pPr>
              <w:rPr>
                <w:rFonts w:eastAsia="Times New Roman" w:cs="Arial"/>
                <w:b/>
                <w:sz w:val="24"/>
                <w:szCs w:val="24"/>
              </w:rPr>
            </w:pPr>
          </w:p>
        </w:tc>
        <w:tc>
          <w:tcPr>
            <w:tcW w:w="6627" w:type="dxa"/>
            <w:gridSpan w:val="4"/>
          </w:tcPr>
          <w:p w14:paraId="040E55D0" w14:textId="77777777" w:rsidR="0069054B" w:rsidRPr="000677F0" w:rsidRDefault="0069054B" w:rsidP="008F5FD4">
            <w:pPr>
              <w:rPr>
                <w:rFonts w:eastAsia="Times New Roman" w:cs="Arial"/>
                <w:sz w:val="24"/>
                <w:szCs w:val="24"/>
              </w:rPr>
            </w:pPr>
          </w:p>
        </w:tc>
      </w:tr>
      <w:tr w:rsidR="007E58A3" w:rsidRPr="00301D4F" w14:paraId="67D357CE" w14:textId="77777777" w:rsidTr="003F6E94">
        <w:tc>
          <w:tcPr>
            <w:tcW w:w="3012" w:type="dxa"/>
            <w:gridSpan w:val="2"/>
          </w:tcPr>
          <w:p w14:paraId="2D08BD91" w14:textId="77777777" w:rsidR="007E58A3" w:rsidRPr="002E298C" w:rsidRDefault="00F0168C" w:rsidP="008F5FD4">
            <w:pPr>
              <w:rPr>
                <w:rFonts w:eastAsia="Times New Roman" w:cs="Arial"/>
                <w:b/>
                <w:sz w:val="24"/>
                <w:szCs w:val="24"/>
                <w:highlight w:val="yellow"/>
              </w:rPr>
            </w:pPr>
            <w:r w:rsidRPr="002E298C">
              <w:rPr>
                <w:rFonts w:eastAsia="Times New Roman" w:cs="Arial"/>
                <w:b/>
                <w:sz w:val="24"/>
                <w:szCs w:val="24"/>
                <w:highlight w:val="yellow"/>
              </w:rPr>
              <w:t>Agenda Item No.</w:t>
            </w:r>
          </w:p>
        </w:tc>
        <w:tc>
          <w:tcPr>
            <w:tcW w:w="6627" w:type="dxa"/>
            <w:gridSpan w:val="4"/>
          </w:tcPr>
          <w:p w14:paraId="435D27F9" w14:textId="4B091123" w:rsidR="007E58A3" w:rsidRPr="002E298C" w:rsidRDefault="00934A82" w:rsidP="008F5FD4">
            <w:pPr>
              <w:rPr>
                <w:rFonts w:eastAsia="Times New Roman" w:cs="Arial"/>
                <w:sz w:val="24"/>
                <w:szCs w:val="24"/>
                <w:highlight w:val="yellow"/>
              </w:rPr>
            </w:pPr>
            <w:r w:rsidRPr="002E298C">
              <w:rPr>
                <w:rFonts w:eastAsia="Times New Roman" w:cs="Arial"/>
                <w:sz w:val="24"/>
                <w:szCs w:val="24"/>
                <w:highlight w:val="yellow"/>
              </w:rPr>
              <w:t>x</w:t>
            </w:r>
          </w:p>
        </w:tc>
      </w:tr>
      <w:tr w:rsidR="00877290" w:rsidRPr="00301D4F" w14:paraId="3B34F9D3" w14:textId="77777777" w:rsidTr="003F6E94">
        <w:tc>
          <w:tcPr>
            <w:tcW w:w="3012" w:type="dxa"/>
            <w:gridSpan w:val="2"/>
          </w:tcPr>
          <w:p w14:paraId="31DC61FD" w14:textId="77777777" w:rsidR="00877290" w:rsidRPr="00301D4F" w:rsidRDefault="00877290" w:rsidP="008F5FD4">
            <w:pPr>
              <w:rPr>
                <w:rFonts w:eastAsia="Times New Roman" w:cs="Arial"/>
                <w:b/>
                <w:sz w:val="24"/>
                <w:szCs w:val="24"/>
                <w:highlight w:val="yellow"/>
              </w:rPr>
            </w:pPr>
          </w:p>
        </w:tc>
        <w:tc>
          <w:tcPr>
            <w:tcW w:w="6627" w:type="dxa"/>
            <w:gridSpan w:val="4"/>
          </w:tcPr>
          <w:p w14:paraId="6EA7ECD1" w14:textId="77777777" w:rsidR="00877290" w:rsidRPr="00301D4F" w:rsidRDefault="00877290" w:rsidP="008F5FD4">
            <w:pPr>
              <w:rPr>
                <w:rFonts w:eastAsia="Times New Roman" w:cs="Arial"/>
                <w:sz w:val="24"/>
                <w:szCs w:val="24"/>
                <w:highlight w:val="yellow"/>
              </w:rPr>
            </w:pPr>
          </w:p>
        </w:tc>
      </w:tr>
      <w:tr w:rsidR="00877290" w:rsidRPr="00301D4F" w14:paraId="24AA6372" w14:textId="77777777" w:rsidTr="003F6E94">
        <w:tc>
          <w:tcPr>
            <w:tcW w:w="3012" w:type="dxa"/>
            <w:gridSpan w:val="2"/>
          </w:tcPr>
          <w:p w14:paraId="7A60DCB4" w14:textId="77777777" w:rsidR="00877290" w:rsidRPr="00636695" w:rsidRDefault="00F0168C" w:rsidP="008F5FD4">
            <w:pPr>
              <w:ind w:right="-249"/>
              <w:rPr>
                <w:rFonts w:eastAsia="Times New Roman" w:cs="Arial"/>
                <w:b/>
                <w:bCs/>
                <w:sz w:val="24"/>
                <w:szCs w:val="24"/>
              </w:rPr>
            </w:pPr>
            <w:r w:rsidRPr="00636695">
              <w:rPr>
                <w:rFonts w:eastAsia="Times New Roman" w:cs="Arial"/>
                <w:b/>
                <w:bCs/>
                <w:sz w:val="24"/>
                <w:szCs w:val="24"/>
              </w:rPr>
              <w:t>Meeting</w:t>
            </w:r>
            <w:r w:rsidR="00877290" w:rsidRPr="00636695">
              <w:rPr>
                <w:rFonts w:eastAsia="Times New Roman" w:cs="Arial"/>
                <w:b/>
                <w:bCs/>
                <w:sz w:val="24"/>
                <w:szCs w:val="24"/>
              </w:rPr>
              <w:tab/>
            </w:r>
          </w:p>
        </w:tc>
        <w:tc>
          <w:tcPr>
            <w:tcW w:w="6627" w:type="dxa"/>
            <w:gridSpan w:val="4"/>
          </w:tcPr>
          <w:p w14:paraId="70FFE969" w14:textId="1551E814" w:rsidR="00877290" w:rsidRPr="00636695" w:rsidRDefault="00AA6AB4" w:rsidP="008F5FD4">
            <w:pPr>
              <w:rPr>
                <w:rFonts w:eastAsia="Times New Roman" w:cs="Arial"/>
                <w:sz w:val="24"/>
                <w:szCs w:val="24"/>
              </w:rPr>
            </w:pPr>
            <w:r>
              <w:rPr>
                <w:rFonts w:eastAsia="Times New Roman" w:cs="Arial"/>
                <w:bCs/>
                <w:sz w:val="24"/>
                <w:szCs w:val="24"/>
              </w:rPr>
              <w:t>Policy &amp; Resources Panel</w:t>
            </w:r>
          </w:p>
        </w:tc>
      </w:tr>
      <w:tr w:rsidR="004963E4" w:rsidRPr="00301D4F" w14:paraId="5C88D9E8" w14:textId="77777777" w:rsidTr="003F6E94">
        <w:tc>
          <w:tcPr>
            <w:tcW w:w="3012" w:type="dxa"/>
            <w:gridSpan w:val="2"/>
          </w:tcPr>
          <w:p w14:paraId="37B5E175" w14:textId="77777777" w:rsidR="004963E4" w:rsidRPr="00301D4F" w:rsidRDefault="004963E4" w:rsidP="008F5FD4">
            <w:pPr>
              <w:rPr>
                <w:rFonts w:eastAsia="Times New Roman" w:cs="Arial"/>
                <w:b/>
                <w:bCs/>
                <w:sz w:val="24"/>
                <w:szCs w:val="24"/>
                <w:highlight w:val="yellow"/>
              </w:rPr>
            </w:pPr>
          </w:p>
        </w:tc>
        <w:tc>
          <w:tcPr>
            <w:tcW w:w="6627" w:type="dxa"/>
            <w:gridSpan w:val="4"/>
          </w:tcPr>
          <w:p w14:paraId="57972590" w14:textId="77777777" w:rsidR="004963E4" w:rsidRPr="00301D4F" w:rsidRDefault="004963E4" w:rsidP="008F5FD4">
            <w:pPr>
              <w:rPr>
                <w:rFonts w:eastAsia="Times New Roman" w:cs="Arial"/>
                <w:sz w:val="24"/>
                <w:szCs w:val="24"/>
                <w:highlight w:val="yellow"/>
              </w:rPr>
            </w:pPr>
          </w:p>
        </w:tc>
      </w:tr>
      <w:tr w:rsidR="005F6BB9" w:rsidRPr="00301D4F" w14:paraId="6D77212A" w14:textId="77777777" w:rsidTr="003F6E94">
        <w:tc>
          <w:tcPr>
            <w:tcW w:w="3012" w:type="dxa"/>
            <w:gridSpan w:val="2"/>
          </w:tcPr>
          <w:p w14:paraId="091C75E5" w14:textId="77777777" w:rsidR="005F6BB9" w:rsidRPr="002E298C" w:rsidRDefault="005F6BB9" w:rsidP="005F6BB9">
            <w:pPr>
              <w:rPr>
                <w:rFonts w:eastAsia="Times New Roman" w:cs="Arial"/>
                <w:b/>
                <w:bCs/>
                <w:sz w:val="24"/>
                <w:szCs w:val="24"/>
              </w:rPr>
            </w:pPr>
            <w:r w:rsidRPr="002E298C">
              <w:rPr>
                <w:rFonts w:eastAsia="Times New Roman" w:cs="Arial"/>
                <w:b/>
                <w:bCs/>
                <w:sz w:val="24"/>
                <w:szCs w:val="24"/>
              </w:rPr>
              <w:t>Date</w:t>
            </w:r>
            <w:r w:rsidRPr="002E298C">
              <w:rPr>
                <w:rFonts w:eastAsia="Times New Roman" w:cs="Arial"/>
                <w:b/>
                <w:bCs/>
                <w:sz w:val="24"/>
                <w:szCs w:val="24"/>
              </w:rPr>
              <w:tab/>
            </w:r>
          </w:p>
        </w:tc>
        <w:tc>
          <w:tcPr>
            <w:tcW w:w="6627" w:type="dxa"/>
            <w:gridSpan w:val="4"/>
          </w:tcPr>
          <w:p w14:paraId="23E39927" w14:textId="07F8B3A5" w:rsidR="005F6BB9" w:rsidRPr="002E298C" w:rsidRDefault="009162BA" w:rsidP="005F6BB9">
            <w:pPr>
              <w:rPr>
                <w:rFonts w:eastAsia="Times New Roman" w:cs="Arial"/>
                <w:sz w:val="24"/>
                <w:szCs w:val="24"/>
              </w:rPr>
            </w:pPr>
            <w:r w:rsidRPr="002E298C">
              <w:rPr>
                <w:rFonts w:eastAsia="Times New Roman" w:cs="Arial"/>
                <w:sz w:val="24"/>
                <w:szCs w:val="24"/>
              </w:rPr>
              <w:t xml:space="preserve">18 </w:t>
            </w:r>
            <w:r w:rsidR="00AA6AB4" w:rsidRPr="002E298C">
              <w:rPr>
                <w:rFonts w:eastAsia="Times New Roman" w:cs="Arial"/>
                <w:sz w:val="24"/>
                <w:szCs w:val="24"/>
              </w:rPr>
              <w:t>January</w:t>
            </w:r>
            <w:r w:rsidRPr="002E298C">
              <w:rPr>
                <w:rFonts w:eastAsia="Times New Roman" w:cs="Arial"/>
                <w:sz w:val="24"/>
                <w:szCs w:val="24"/>
              </w:rPr>
              <w:t xml:space="preserve"> 202</w:t>
            </w:r>
            <w:r w:rsidR="00AA6AB4" w:rsidRPr="002E298C">
              <w:rPr>
                <w:rFonts w:eastAsia="Times New Roman" w:cs="Arial"/>
                <w:sz w:val="24"/>
                <w:szCs w:val="24"/>
              </w:rPr>
              <w:t>4</w:t>
            </w:r>
          </w:p>
        </w:tc>
      </w:tr>
      <w:tr w:rsidR="005F6BB9" w:rsidRPr="00301D4F" w14:paraId="4619D81D" w14:textId="77777777" w:rsidTr="003F6E94">
        <w:tc>
          <w:tcPr>
            <w:tcW w:w="3012" w:type="dxa"/>
            <w:gridSpan w:val="2"/>
          </w:tcPr>
          <w:p w14:paraId="0E404AB6" w14:textId="77777777" w:rsidR="005F6BB9" w:rsidRPr="00301D4F" w:rsidRDefault="005F6BB9" w:rsidP="005F6BB9">
            <w:pPr>
              <w:rPr>
                <w:rFonts w:eastAsia="Times New Roman" w:cs="Arial"/>
                <w:b/>
                <w:bCs/>
                <w:sz w:val="24"/>
                <w:szCs w:val="24"/>
                <w:highlight w:val="yellow"/>
              </w:rPr>
            </w:pPr>
          </w:p>
        </w:tc>
        <w:tc>
          <w:tcPr>
            <w:tcW w:w="6627" w:type="dxa"/>
            <w:gridSpan w:val="4"/>
          </w:tcPr>
          <w:p w14:paraId="537EE4BC" w14:textId="77777777" w:rsidR="005F6BB9" w:rsidRPr="00301D4F" w:rsidRDefault="005F6BB9" w:rsidP="005F6BB9">
            <w:pPr>
              <w:rPr>
                <w:rFonts w:eastAsia="Times New Roman" w:cs="Arial"/>
                <w:sz w:val="24"/>
                <w:szCs w:val="24"/>
                <w:highlight w:val="yellow"/>
              </w:rPr>
            </w:pPr>
          </w:p>
        </w:tc>
      </w:tr>
      <w:tr w:rsidR="005F6BB9" w:rsidRPr="00301D4F" w14:paraId="7CE660CE" w14:textId="77777777" w:rsidTr="003F6E94">
        <w:tc>
          <w:tcPr>
            <w:tcW w:w="3012" w:type="dxa"/>
            <w:gridSpan w:val="2"/>
          </w:tcPr>
          <w:p w14:paraId="6884A5E0" w14:textId="77777777" w:rsidR="005F6BB9" w:rsidRPr="000677F0" w:rsidRDefault="005F6BB9" w:rsidP="005F6BB9">
            <w:pPr>
              <w:rPr>
                <w:rFonts w:eastAsia="Times New Roman" w:cs="Arial"/>
                <w:b/>
                <w:bCs/>
                <w:sz w:val="24"/>
                <w:szCs w:val="24"/>
              </w:rPr>
            </w:pPr>
            <w:r w:rsidRPr="000677F0">
              <w:rPr>
                <w:rFonts w:eastAsia="Times New Roman" w:cs="Arial"/>
                <w:b/>
                <w:bCs/>
                <w:sz w:val="24"/>
                <w:szCs w:val="24"/>
              </w:rPr>
              <w:t>Title of Report</w:t>
            </w:r>
          </w:p>
        </w:tc>
        <w:tc>
          <w:tcPr>
            <w:tcW w:w="6627" w:type="dxa"/>
            <w:gridSpan w:val="4"/>
          </w:tcPr>
          <w:p w14:paraId="43DC7E4E" w14:textId="3DB3666C" w:rsidR="005F6BB9" w:rsidRPr="000677F0" w:rsidRDefault="005F6BB9" w:rsidP="005F6BB9">
            <w:pPr>
              <w:rPr>
                <w:rFonts w:eastAsia="Times New Roman" w:cs="Arial"/>
                <w:sz w:val="24"/>
                <w:szCs w:val="24"/>
              </w:rPr>
            </w:pPr>
            <w:r w:rsidRPr="000677F0">
              <w:rPr>
                <w:sz w:val="24"/>
                <w:szCs w:val="24"/>
              </w:rPr>
              <w:t>Revenue and Capital Budget 202</w:t>
            </w:r>
            <w:r w:rsidR="00316249" w:rsidRPr="000677F0">
              <w:rPr>
                <w:sz w:val="24"/>
                <w:szCs w:val="24"/>
              </w:rPr>
              <w:t>3</w:t>
            </w:r>
            <w:r w:rsidRPr="000677F0">
              <w:rPr>
                <w:sz w:val="24"/>
                <w:szCs w:val="24"/>
              </w:rPr>
              <w:t>/2</w:t>
            </w:r>
            <w:r w:rsidR="00316249" w:rsidRPr="000677F0">
              <w:rPr>
                <w:sz w:val="24"/>
                <w:szCs w:val="24"/>
              </w:rPr>
              <w:t>4</w:t>
            </w:r>
            <w:r w:rsidRPr="000677F0">
              <w:rPr>
                <w:sz w:val="24"/>
                <w:szCs w:val="24"/>
              </w:rPr>
              <w:t xml:space="preserve"> and Capital Programme 202</w:t>
            </w:r>
            <w:r w:rsidR="00316249" w:rsidRPr="000677F0">
              <w:rPr>
                <w:sz w:val="24"/>
                <w:szCs w:val="24"/>
              </w:rPr>
              <w:t>3</w:t>
            </w:r>
            <w:r w:rsidRPr="000677F0">
              <w:rPr>
                <w:sz w:val="24"/>
                <w:szCs w:val="24"/>
              </w:rPr>
              <w:t>/2</w:t>
            </w:r>
            <w:r w:rsidR="00316249" w:rsidRPr="000677F0">
              <w:rPr>
                <w:sz w:val="24"/>
                <w:szCs w:val="24"/>
              </w:rPr>
              <w:t>4</w:t>
            </w:r>
            <w:r w:rsidRPr="000677F0">
              <w:rPr>
                <w:sz w:val="24"/>
                <w:szCs w:val="24"/>
              </w:rPr>
              <w:t xml:space="preserve"> to 202</w:t>
            </w:r>
            <w:r w:rsidR="00316249" w:rsidRPr="000677F0">
              <w:rPr>
                <w:sz w:val="24"/>
                <w:szCs w:val="24"/>
              </w:rPr>
              <w:t>7</w:t>
            </w:r>
            <w:r w:rsidRPr="000677F0">
              <w:rPr>
                <w:sz w:val="24"/>
                <w:szCs w:val="24"/>
              </w:rPr>
              <w:t>/2</w:t>
            </w:r>
            <w:r w:rsidR="00316249" w:rsidRPr="000677F0">
              <w:rPr>
                <w:sz w:val="24"/>
                <w:szCs w:val="24"/>
              </w:rPr>
              <w:t>8</w:t>
            </w:r>
            <w:r w:rsidRPr="000677F0">
              <w:rPr>
                <w:sz w:val="24"/>
                <w:szCs w:val="24"/>
              </w:rPr>
              <w:t xml:space="preserve"> Monitoring at Month </w:t>
            </w:r>
            <w:r w:rsidR="000677F0" w:rsidRPr="000677F0">
              <w:rPr>
                <w:sz w:val="24"/>
                <w:szCs w:val="24"/>
              </w:rPr>
              <w:t>8</w:t>
            </w:r>
            <w:r w:rsidRPr="000677F0">
              <w:rPr>
                <w:sz w:val="24"/>
                <w:szCs w:val="24"/>
              </w:rPr>
              <w:t xml:space="preserve"> (end </w:t>
            </w:r>
            <w:r w:rsidR="000677F0" w:rsidRPr="000677F0">
              <w:rPr>
                <w:sz w:val="24"/>
                <w:szCs w:val="24"/>
              </w:rPr>
              <w:t>November</w:t>
            </w:r>
            <w:r w:rsidRPr="000677F0">
              <w:rPr>
                <w:sz w:val="24"/>
                <w:szCs w:val="24"/>
              </w:rPr>
              <w:t>).</w:t>
            </w:r>
          </w:p>
        </w:tc>
      </w:tr>
      <w:tr w:rsidR="005F6BB9" w:rsidRPr="00301D4F" w14:paraId="4294817E" w14:textId="77777777" w:rsidTr="003F6E94">
        <w:tc>
          <w:tcPr>
            <w:tcW w:w="3012" w:type="dxa"/>
            <w:gridSpan w:val="2"/>
          </w:tcPr>
          <w:p w14:paraId="2D1CC350" w14:textId="77777777" w:rsidR="005F6BB9" w:rsidRPr="000677F0" w:rsidRDefault="005F6BB9" w:rsidP="005F6BB9">
            <w:pPr>
              <w:rPr>
                <w:rFonts w:eastAsia="Times New Roman" w:cs="Arial"/>
                <w:b/>
                <w:bCs/>
                <w:sz w:val="24"/>
                <w:szCs w:val="24"/>
              </w:rPr>
            </w:pPr>
          </w:p>
        </w:tc>
        <w:tc>
          <w:tcPr>
            <w:tcW w:w="6627" w:type="dxa"/>
            <w:gridSpan w:val="4"/>
          </w:tcPr>
          <w:p w14:paraId="437D8CEF" w14:textId="77777777" w:rsidR="005F6BB9" w:rsidRPr="000677F0" w:rsidRDefault="005F6BB9" w:rsidP="005F6BB9">
            <w:pPr>
              <w:rPr>
                <w:rFonts w:eastAsia="Times New Roman" w:cs="Arial"/>
                <w:sz w:val="24"/>
                <w:szCs w:val="24"/>
              </w:rPr>
            </w:pPr>
          </w:p>
        </w:tc>
      </w:tr>
      <w:tr w:rsidR="005F6BB9" w:rsidRPr="00301D4F" w14:paraId="3ED50EEE" w14:textId="77777777" w:rsidTr="003F6E94">
        <w:tc>
          <w:tcPr>
            <w:tcW w:w="3012" w:type="dxa"/>
            <w:gridSpan w:val="2"/>
          </w:tcPr>
          <w:p w14:paraId="5638A25A" w14:textId="77777777" w:rsidR="005F6BB9" w:rsidRPr="000677F0" w:rsidRDefault="005F6BB9" w:rsidP="005F6BB9">
            <w:pPr>
              <w:rPr>
                <w:rFonts w:eastAsia="Times New Roman" w:cs="Arial"/>
                <w:b/>
                <w:bCs/>
                <w:sz w:val="24"/>
                <w:szCs w:val="24"/>
              </w:rPr>
            </w:pPr>
            <w:r w:rsidRPr="000677F0">
              <w:rPr>
                <w:rFonts w:eastAsia="Times New Roman" w:cs="Arial"/>
                <w:b/>
                <w:bCs/>
                <w:sz w:val="24"/>
                <w:szCs w:val="24"/>
              </w:rPr>
              <w:t>By</w:t>
            </w:r>
          </w:p>
        </w:tc>
        <w:tc>
          <w:tcPr>
            <w:tcW w:w="6627" w:type="dxa"/>
            <w:gridSpan w:val="4"/>
          </w:tcPr>
          <w:p w14:paraId="55B93FE5" w14:textId="48E7A46D" w:rsidR="005F6BB9" w:rsidRPr="000677F0" w:rsidRDefault="005F6BB9" w:rsidP="005F6BB9">
            <w:pPr>
              <w:rPr>
                <w:rFonts w:eastAsia="Times New Roman" w:cs="Arial"/>
                <w:sz w:val="24"/>
                <w:szCs w:val="24"/>
              </w:rPr>
            </w:pPr>
            <w:r w:rsidRPr="000677F0">
              <w:rPr>
                <w:rFonts w:eastAsia="Times New Roman" w:cs="Arial"/>
                <w:sz w:val="24"/>
                <w:szCs w:val="24"/>
              </w:rPr>
              <w:t>Duncan Savage – Assistant Director Resources/Treasurer</w:t>
            </w:r>
          </w:p>
        </w:tc>
      </w:tr>
      <w:tr w:rsidR="005F6BB9" w:rsidRPr="00301D4F" w14:paraId="1B788431" w14:textId="77777777" w:rsidTr="003F6E94">
        <w:tc>
          <w:tcPr>
            <w:tcW w:w="3012" w:type="dxa"/>
            <w:gridSpan w:val="2"/>
          </w:tcPr>
          <w:p w14:paraId="0EAA9908" w14:textId="77777777" w:rsidR="005F6BB9" w:rsidRPr="000677F0" w:rsidRDefault="005F6BB9" w:rsidP="005F6BB9">
            <w:pPr>
              <w:rPr>
                <w:rFonts w:eastAsia="Times New Roman" w:cs="Arial"/>
                <w:b/>
                <w:bCs/>
                <w:sz w:val="24"/>
                <w:szCs w:val="24"/>
              </w:rPr>
            </w:pPr>
          </w:p>
        </w:tc>
        <w:tc>
          <w:tcPr>
            <w:tcW w:w="6627" w:type="dxa"/>
            <w:gridSpan w:val="4"/>
          </w:tcPr>
          <w:p w14:paraId="41BD6FD8" w14:textId="77777777" w:rsidR="005F6BB9" w:rsidRPr="000677F0" w:rsidRDefault="005F6BB9" w:rsidP="005F6BB9">
            <w:pPr>
              <w:rPr>
                <w:rFonts w:eastAsia="Times New Roman" w:cs="Arial"/>
                <w:color w:val="FF0000"/>
                <w:sz w:val="24"/>
                <w:szCs w:val="24"/>
              </w:rPr>
            </w:pPr>
          </w:p>
        </w:tc>
      </w:tr>
      <w:tr w:rsidR="005F6BB9" w:rsidRPr="00301D4F" w14:paraId="5928E907" w14:textId="77777777" w:rsidTr="003F6E94">
        <w:tc>
          <w:tcPr>
            <w:tcW w:w="3012" w:type="dxa"/>
            <w:gridSpan w:val="2"/>
          </w:tcPr>
          <w:p w14:paraId="797413A7" w14:textId="77777777" w:rsidR="005F6BB9" w:rsidRPr="000677F0" w:rsidRDefault="005F6BB9" w:rsidP="005F6BB9">
            <w:pPr>
              <w:rPr>
                <w:rFonts w:eastAsia="Times New Roman" w:cs="Arial"/>
                <w:b/>
                <w:bCs/>
                <w:sz w:val="24"/>
                <w:szCs w:val="24"/>
              </w:rPr>
            </w:pPr>
            <w:r w:rsidRPr="000677F0">
              <w:rPr>
                <w:rFonts w:eastAsia="Times New Roman" w:cs="Arial"/>
                <w:b/>
                <w:bCs/>
                <w:sz w:val="24"/>
                <w:szCs w:val="24"/>
              </w:rPr>
              <w:t>Lead Officer</w:t>
            </w:r>
          </w:p>
        </w:tc>
        <w:tc>
          <w:tcPr>
            <w:tcW w:w="6627" w:type="dxa"/>
            <w:gridSpan w:val="4"/>
          </w:tcPr>
          <w:p w14:paraId="7522F549" w14:textId="6C0B4E1C" w:rsidR="005F6BB9" w:rsidRPr="000677F0" w:rsidRDefault="005F6BB9" w:rsidP="005F6BB9">
            <w:pPr>
              <w:rPr>
                <w:rFonts w:eastAsia="Times New Roman" w:cs="Arial"/>
                <w:i/>
                <w:color w:val="FF0000"/>
                <w:sz w:val="24"/>
                <w:szCs w:val="24"/>
              </w:rPr>
            </w:pPr>
            <w:r w:rsidRPr="000677F0">
              <w:rPr>
                <w:rFonts w:eastAsia="Times New Roman" w:cs="Arial"/>
                <w:sz w:val="24"/>
                <w:szCs w:val="24"/>
              </w:rPr>
              <w:t>Alison Avery - Finance Manager</w:t>
            </w:r>
          </w:p>
        </w:tc>
      </w:tr>
      <w:tr w:rsidR="005F6BB9" w:rsidRPr="00301D4F" w14:paraId="67FF8E95" w14:textId="77777777" w:rsidTr="003F6E94">
        <w:tc>
          <w:tcPr>
            <w:tcW w:w="3012" w:type="dxa"/>
            <w:gridSpan w:val="2"/>
            <w:tcBorders>
              <w:bottom w:val="single" w:sz="4" w:space="0" w:color="auto"/>
            </w:tcBorders>
          </w:tcPr>
          <w:p w14:paraId="1180A6F5" w14:textId="77777777" w:rsidR="005F6BB9" w:rsidRPr="00301D4F" w:rsidRDefault="005F6BB9" w:rsidP="005F6BB9">
            <w:pPr>
              <w:rPr>
                <w:rFonts w:eastAsia="Times New Roman" w:cs="Arial"/>
                <w:b/>
                <w:bCs/>
                <w:color w:val="FF0000"/>
                <w:sz w:val="24"/>
                <w:szCs w:val="24"/>
                <w:highlight w:val="yellow"/>
              </w:rPr>
            </w:pPr>
          </w:p>
        </w:tc>
        <w:tc>
          <w:tcPr>
            <w:tcW w:w="6627" w:type="dxa"/>
            <w:gridSpan w:val="4"/>
            <w:tcBorders>
              <w:bottom w:val="single" w:sz="4" w:space="0" w:color="auto"/>
            </w:tcBorders>
          </w:tcPr>
          <w:p w14:paraId="0F91D0AF" w14:textId="77777777" w:rsidR="005F6BB9" w:rsidRPr="00301D4F" w:rsidRDefault="005F6BB9" w:rsidP="005F6BB9">
            <w:pPr>
              <w:rPr>
                <w:rFonts w:eastAsia="Times New Roman" w:cs="Arial"/>
                <w:sz w:val="24"/>
                <w:szCs w:val="24"/>
                <w:highlight w:val="yellow"/>
              </w:rPr>
            </w:pPr>
          </w:p>
        </w:tc>
      </w:tr>
      <w:tr w:rsidR="005F6BB9" w:rsidRPr="00301D4F" w14:paraId="2955244E" w14:textId="77777777" w:rsidTr="003F6E94">
        <w:tc>
          <w:tcPr>
            <w:tcW w:w="3012" w:type="dxa"/>
            <w:gridSpan w:val="2"/>
          </w:tcPr>
          <w:p w14:paraId="520DCF22" w14:textId="77777777" w:rsidR="005F6BB9" w:rsidRPr="00301D4F" w:rsidRDefault="005F6BB9" w:rsidP="005F6BB9">
            <w:pPr>
              <w:rPr>
                <w:rFonts w:eastAsia="Times New Roman" w:cs="Arial"/>
                <w:b/>
                <w:bCs/>
                <w:color w:val="FF0000"/>
                <w:sz w:val="24"/>
                <w:szCs w:val="24"/>
                <w:highlight w:val="yellow"/>
              </w:rPr>
            </w:pPr>
          </w:p>
        </w:tc>
        <w:tc>
          <w:tcPr>
            <w:tcW w:w="6627" w:type="dxa"/>
            <w:gridSpan w:val="4"/>
          </w:tcPr>
          <w:p w14:paraId="76D01F7E" w14:textId="77777777" w:rsidR="005F6BB9" w:rsidRPr="00301D4F" w:rsidRDefault="005F6BB9" w:rsidP="005F6BB9">
            <w:pPr>
              <w:rPr>
                <w:rFonts w:eastAsia="Times New Roman" w:cs="Arial"/>
                <w:sz w:val="24"/>
                <w:szCs w:val="24"/>
                <w:highlight w:val="yellow"/>
              </w:rPr>
            </w:pPr>
          </w:p>
        </w:tc>
      </w:tr>
      <w:tr w:rsidR="005F6BB9" w:rsidRPr="00301D4F" w14:paraId="1AA64671" w14:textId="77777777" w:rsidTr="003F6E94">
        <w:tc>
          <w:tcPr>
            <w:tcW w:w="3012" w:type="dxa"/>
            <w:gridSpan w:val="2"/>
          </w:tcPr>
          <w:p w14:paraId="425E7DCE" w14:textId="77777777" w:rsidR="005F6BB9" w:rsidRPr="000677F0" w:rsidRDefault="005F6BB9" w:rsidP="005F6BB9">
            <w:pPr>
              <w:rPr>
                <w:rFonts w:eastAsia="Times New Roman" w:cs="Arial"/>
                <w:b/>
                <w:bCs/>
                <w:color w:val="FF0000"/>
                <w:sz w:val="24"/>
                <w:szCs w:val="24"/>
              </w:rPr>
            </w:pPr>
            <w:r w:rsidRPr="000677F0">
              <w:rPr>
                <w:rFonts w:eastAsia="Times New Roman" w:cs="Arial"/>
                <w:b/>
                <w:bCs/>
                <w:sz w:val="24"/>
                <w:szCs w:val="24"/>
              </w:rPr>
              <w:t>Background Papers</w:t>
            </w:r>
          </w:p>
        </w:tc>
        <w:tc>
          <w:tcPr>
            <w:tcW w:w="6627" w:type="dxa"/>
            <w:gridSpan w:val="4"/>
          </w:tcPr>
          <w:p w14:paraId="3B042B3F" w14:textId="0ADE5BD2" w:rsidR="005F6BB9" w:rsidRPr="000677F0" w:rsidRDefault="005F6BB9" w:rsidP="005F6BB9">
            <w:pPr>
              <w:rPr>
                <w:rFonts w:cs="Arial"/>
                <w:spacing w:val="-2"/>
                <w:sz w:val="24"/>
              </w:rPr>
            </w:pPr>
            <w:r w:rsidRPr="000677F0">
              <w:rPr>
                <w:rFonts w:cs="Arial"/>
                <w:spacing w:val="-3"/>
                <w:sz w:val="24"/>
              </w:rPr>
              <w:t>Fire Authority Service Planning processes for 202</w:t>
            </w:r>
            <w:r w:rsidR="0065239F" w:rsidRPr="000677F0">
              <w:rPr>
                <w:rFonts w:cs="Arial"/>
                <w:spacing w:val="-3"/>
                <w:sz w:val="24"/>
              </w:rPr>
              <w:t>3</w:t>
            </w:r>
            <w:r w:rsidRPr="000677F0">
              <w:rPr>
                <w:rFonts w:cs="Arial"/>
                <w:spacing w:val="-3"/>
                <w:sz w:val="24"/>
              </w:rPr>
              <w:t>/2</w:t>
            </w:r>
            <w:r w:rsidR="0065239F" w:rsidRPr="000677F0">
              <w:rPr>
                <w:rFonts w:cs="Arial"/>
                <w:spacing w:val="-3"/>
                <w:sz w:val="24"/>
              </w:rPr>
              <w:t>4</w:t>
            </w:r>
            <w:r w:rsidRPr="000677F0">
              <w:rPr>
                <w:rFonts w:cs="Arial"/>
                <w:spacing w:val="-3"/>
                <w:sz w:val="24"/>
              </w:rPr>
              <w:t xml:space="preserve"> and beyond</w:t>
            </w:r>
            <w:r w:rsidRPr="000677F0">
              <w:rPr>
                <w:rFonts w:cs="Arial"/>
                <w:spacing w:val="-2"/>
                <w:sz w:val="24"/>
              </w:rPr>
              <w:t xml:space="preserve"> – Revenue Budget 202</w:t>
            </w:r>
            <w:r w:rsidR="0065239F" w:rsidRPr="000677F0">
              <w:rPr>
                <w:rFonts w:cs="Arial"/>
                <w:spacing w:val="-2"/>
                <w:sz w:val="24"/>
              </w:rPr>
              <w:t>3</w:t>
            </w:r>
            <w:r w:rsidRPr="000677F0">
              <w:rPr>
                <w:rFonts w:cs="Arial"/>
                <w:spacing w:val="-2"/>
                <w:sz w:val="24"/>
              </w:rPr>
              <w:t>/2</w:t>
            </w:r>
            <w:r w:rsidR="0065239F" w:rsidRPr="000677F0">
              <w:rPr>
                <w:rFonts w:cs="Arial"/>
                <w:spacing w:val="-2"/>
                <w:sz w:val="24"/>
              </w:rPr>
              <w:t>4</w:t>
            </w:r>
            <w:r w:rsidRPr="000677F0">
              <w:rPr>
                <w:rFonts w:cs="Arial"/>
                <w:spacing w:val="-2"/>
                <w:sz w:val="24"/>
              </w:rPr>
              <w:t xml:space="preserve"> and Capital Asset Strategy 202</w:t>
            </w:r>
            <w:r w:rsidR="0065239F" w:rsidRPr="000677F0">
              <w:rPr>
                <w:rFonts w:cs="Arial"/>
                <w:spacing w:val="-2"/>
                <w:sz w:val="24"/>
              </w:rPr>
              <w:t>3</w:t>
            </w:r>
            <w:r w:rsidRPr="000677F0">
              <w:rPr>
                <w:rFonts w:cs="Arial"/>
                <w:spacing w:val="-2"/>
                <w:sz w:val="24"/>
              </w:rPr>
              <w:t>/2</w:t>
            </w:r>
            <w:r w:rsidR="0065239F" w:rsidRPr="000677F0">
              <w:rPr>
                <w:rFonts w:cs="Arial"/>
                <w:spacing w:val="-2"/>
                <w:sz w:val="24"/>
              </w:rPr>
              <w:t>4</w:t>
            </w:r>
            <w:r w:rsidRPr="000677F0">
              <w:rPr>
                <w:rFonts w:cs="Arial"/>
                <w:spacing w:val="-2"/>
                <w:sz w:val="24"/>
              </w:rPr>
              <w:t xml:space="preserve"> to 202</w:t>
            </w:r>
            <w:r w:rsidR="0065239F" w:rsidRPr="000677F0">
              <w:rPr>
                <w:rFonts w:cs="Arial"/>
                <w:spacing w:val="-2"/>
                <w:sz w:val="24"/>
              </w:rPr>
              <w:t>7</w:t>
            </w:r>
            <w:r w:rsidRPr="000677F0">
              <w:rPr>
                <w:rFonts w:cs="Arial"/>
                <w:spacing w:val="-2"/>
                <w:sz w:val="24"/>
              </w:rPr>
              <w:t>/2</w:t>
            </w:r>
            <w:r w:rsidR="0065239F" w:rsidRPr="000677F0">
              <w:rPr>
                <w:rFonts w:cs="Arial"/>
                <w:spacing w:val="-2"/>
                <w:sz w:val="24"/>
              </w:rPr>
              <w:t>8</w:t>
            </w:r>
          </w:p>
          <w:p w14:paraId="29FBE7B4" w14:textId="77777777" w:rsidR="005F6BB9" w:rsidRPr="000677F0" w:rsidRDefault="005F6BB9" w:rsidP="005F6BB9">
            <w:pPr>
              <w:rPr>
                <w:rFonts w:eastAsia="Times New Roman" w:cs="Arial"/>
                <w:sz w:val="24"/>
                <w:szCs w:val="24"/>
              </w:rPr>
            </w:pPr>
          </w:p>
          <w:p w14:paraId="3E0D2DE4" w14:textId="6C287EFD" w:rsidR="005F6BB9" w:rsidRPr="000677F0" w:rsidRDefault="005F6BB9" w:rsidP="001A3A2D">
            <w:pPr>
              <w:rPr>
                <w:rFonts w:eastAsia="Times New Roman" w:cs="Arial"/>
                <w:sz w:val="24"/>
                <w:szCs w:val="24"/>
              </w:rPr>
            </w:pPr>
            <w:r w:rsidRPr="000677F0">
              <w:rPr>
                <w:sz w:val="24"/>
                <w:szCs w:val="24"/>
              </w:rPr>
              <w:t>Revenue and Capital Budget 202</w:t>
            </w:r>
            <w:r w:rsidR="0065239F" w:rsidRPr="000677F0">
              <w:rPr>
                <w:sz w:val="24"/>
                <w:szCs w:val="24"/>
              </w:rPr>
              <w:t>2</w:t>
            </w:r>
            <w:r w:rsidRPr="000677F0">
              <w:rPr>
                <w:sz w:val="24"/>
                <w:szCs w:val="24"/>
              </w:rPr>
              <w:t>/2</w:t>
            </w:r>
            <w:r w:rsidR="0065239F" w:rsidRPr="000677F0">
              <w:rPr>
                <w:sz w:val="24"/>
                <w:szCs w:val="24"/>
              </w:rPr>
              <w:t>3</w:t>
            </w:r>
            <w:r w:rsidRPr="000677F0">
              <w:rPr>
                <w:sz w:val="24"/>
                <w:szCs w:val="24"/>
              </w:rPr>
              <w:t xml:space="preserve"> and Capital Programme 202</w:t>
            </w:r>
            <w:r w:rsidR="0065239F" w:rsidRPr="000677F0">
              <w:rPr>
                <w:sz w:val="24"/>
                <w:szCs w:val="24"/>
              </w:rPr>
              <w:t>2</w:t>
            </w:r>
            <w:r w:rsidRPr="000677F0">
              <w:rPr>
                <w:sz w:val="24"/>
                <w:szCs w:val="24"/>
              </w:rPr>
              <w:t>/2</w:t>
            </w:r>
            <w:r w:rsidR="0065239F" w:rsidRPr="000677F0">
              <w:rPr>
                <w:sz w:val="24"/>
                <w:szCs w:val="24"/>
              </w:rPr>
              <w:t>3</w:t>
            </w:r>
            <w:r w:rsidRPr="000677F0">
              <w:rPr>
                <w:sz w:val="24"/>
                <w:szCs w:val="24"/>
              </w:rPr>
              <w:t xml:space="preserve"> to 202</w:t>
            </w:r>
            <w:r w:rsidR="0065239F" w:rsidRPr="000677F0">
              <w:rPr>
                <w:sz w:val="24"/>
                <w:szCs w:val="24"/>
              </w:rPr>
              <w:t>6</w:t>
            </w:r>
            <w:r w:rsidRPr="000677F0">
              <w:rPr>
                <w:sz w:val="24"/>
                <w:szCs w:val="24"/>
              </w:rPr>
              <w:t>/2</w:t>
            </w:r>
            <w:r w:rsidR="0065239F" w:rsidRPr="000677F0">
              <w:rPr>
                <w:sz w:val="24"/>
                <w:szCs w:val="24"/>
              </w:rPr>
              <w:t>7</w:t>
            </w:r>
            <w:r w:rsidRPr="000677F0">
              <w:rPr>
                <w:sz w:val="24"/>
                <w:szCs w:val="24"/>
              </w:rPr>
              <w:t xml:space="preserve"> – Provisional Outturn</w:t>
            </w:r>
          </w:p>
        </w:tc>
      </w:tr>
      <w:tr w:rsidR="005F6BB9" w:rsidRPr="00301D4F" w14:paraId="0E228929" w14:textId="77777777" w:rsidTr="003F6E94">
        <w:tc>
          <w:tcPr>
            <w:tcW w:w="3012" w:type="dxa"/>
            <w:gridSpan w:val="2"/>
            <w:tcBorders>
              <w:bottom w:val="single" w:sz="4" w:space="0" w:color="auto"/>
            </w:tcBorders>
          </w:tcPr>
          <w:p w14:paraId="77E922E2" w14:textId="77777777" w:rsidR="005F6BB9" w:rsidRPr="00301D4F" w:rsidRDefault="005F6BB9" w:rsidP="005F6BB9">
            <w:pPr>
              <w:rPr>
                <w:rFonts w:eastAsia="Times New Roman" w:cs="Arial"/>
                <w:b/>
                <w:bCs/>
                <w:color w:val="FF0000"/>
                <w:sz w:val="24"/>
                <w:szCs w:val="24"/>
                <w:highlight w:val="yellow"/>
              </w:rPr>
            </w:pPr>
          </w:p>
        </w:tc>
        <w:tc>
          <w:tcPr>
            <w:tcW w:w="6627" w:type="dxa"/>
            <w:gridSpan w:val="4"/>
            <w:tcBorders>
              <w:bottom w:val="single" w:sz="4" w:space="0" w:color="auto"/>
            </w:tcBorders>
          </w:tcPr>
          <w:p w14:paraId="45EC1D08" w14:textId="77777777" w:rsidR="005F6BB9" w:rsidRPr="00301D4F" w:rsidRDefault="005F6BB9" w:rsidP="005F6BB9">
            <w:pPr>
              <w:rPr>
                <w:rFonts w:eastAsia="Times New Roman" w:cs="Arial"/>
                <w:sz w:val="24"/>
                <w:szCs w:val="24"/>
                <w:highlight w:val="yellow"/>
              </w:rPr>
            </w:pPr>
          </w:p>
        </w:tc>
      </w:tr>
      <w:tr w:rsidR="005F6BB9" w:rsidRPr="00301D4F" w14:paraId="582FBE44" w14:textId="77777777" w:rsidTr="003F6E94">
        <w:tc>
          <w:tcPr>
            <w:tcW w:w="3012" w:type="dxa"/>
            <w:gridSpan w:val="2"/>
          </w:tcPr>
          <w:p w14:paraId="5DF4A7C9" w14:textId="77777777" w:rsidR="005F6BB9" w:rsidRPr="00301D4F" w:rsidRDefault="005F6BB9" w:rsidP="005F6BB9">
            <w:pPr>
              <w:rPr>
                <w:rFonts w:eastAsia="Times New Roman" w:cs="Arial"/>
                <w:b/>
                <w:bCs/>
                <w:color w:val="FF0000"/>
                <w:sz w:val="24"/>
                <w:szCs w:val="24"/>
                <w:highlight w:val="yellow"/>
              </w:rPr>
            </w:pPr>
          </w:p>
        </w:tc>
        <w:tc>
          <w:tcPr>
            <w:tcW w:w="6627" w:type="dxa"/>
            <w:gridSpan w:val="4"/>
          </w:tcPr>
          <w:p w14:paraId="0DD5A536" w14:textId="77777777" w:rsidR="005F6BB9" w:rsidRPr="00301D4F" w:rsidRDefault="005F6BB9" w:rsidP="005F6BB9">
            <w:pPr>
              <w:rPr>
                <w:rFonts w:eastAsia="Times New Roman" w:cs="Arial"/>
                <w:sz w:val="24"/>
                <w:szCs w:val="24"/>
                <w:highlight w:val="yellow"/>
              </w:rPr>
            </w:pPr>
          </w:p>
        </w:tc>
      </w:tr>
      <w:tr w:rsidR="005F6BB9" w:rsidRPr="00301D4F" w14:paraId="617BBDF3" w14:textId="77777777" w:rsidTr="003F6E94">
        <w:tc>
          <w:tcPr>
            <w:tcW w:w="3012" w:type="dxa"/>
            <w:gridSpan w:val="2"/>
          </w:tcPr>
          <w:p w14:paraId="3AA312A4" w14:textId="77777777" w:rsidR="005F6BB9" w:rsidRPr="00636695" w:rsidRDefault="005F6BB9" w:rsidP="005F6BB9">
            <w:pPr>
              <w:rPr>
                <w:rFonts w:eastAsia="Times New Roman" w:cs="Arial"/>
                <w:b/>
                <w:bCs/>
                <w:sz w:val="24"/>
                <w:szCs w:val="24"/>
              </w:rPr>
            </w:pPr>
            <w:r w:rsidRPr="00636695">
              <w:rPr>
                <w:rFonts w:eastAsia="Times New Roman" w:cs="Arial"/>
                <w:b/>
                <w:bCs/>
                <w:sz w:val="24"/>
                <w:szCs w:val="24"/>
              </w:rPr>
              <w:t>Appendices</w:t>
            </w:r>
          </w:p>
        </w:tc>
        <w:tc>
          <w:tcPr>
            <w:tcW w:w="6627" w:type="dxa"/>
            <w:gridSpan w:val="4"/>
          </w:tcPr>
          <w:p w14:paraId="1A936D54" w14:textId="5C5B3350" w:rsidR="005F6BB9" w:rsidRPr="00636695" w:rsidRDefault="005F6BB9" w:rsidP="005F6BB9">
            <w:pPr>
              <w:rPr>
                <w:rFonts w:eastAsia="Times New Roman" w:cs="Arial"/>
                <w:sz w:val="24"/>
                <w:szCs w:val="24"/>
              </w:rPr>
            </w:pPr>
            <w:r w:rsidRPr="00636695">
              <w:rPr>
                <w:rFonts w:eastAsia="Times New Roman" w:cs="Arial"/>
                <w:sz w:val="24"/>
                <w:szCs w:val="24"/>
              </w:rPr>
              <w:t>Appendix 1: Revenue Budget 202</w:t>
            </w:r>
            <w:r w:rsidR="0065239F" w:rsidRPr="00636695">
              <w:rPr>
                <w:rFonts w:eastAsia="Times New Roman" w:cs="Arial"/>
                <w:sz w:val="24"/>
                <w:szCs w:val="24"/>
              </w:rPr>
              <w:t>3</w:t>
            </w:r>
            <w:r w:rsidRPr="00636695">
              <w:rPr>
                <w:rFonts w:eastAsia="Times New Roman" w:cs="Arial"/>
                <w:sz w:val="24"/>
                <w:szCs w:val="24"/>
              </w:rPr>
              <w:t>/2</w:t>
            </w:r>
            <w:r w:rsidR="0065239F" w:rsidRPr="00636695">
              <w:rPr>
                <w:rFonts w:eastAsia="Times New Roman" w:cs="Arial"/>
                <w:sz w:val="24"/>
                <w:szCs w:val="24"/>
              </w:rPr>
              <w:t>4</w:t>
            </w:r>
            <w:r w:rsidRPr="00636695">
              <w:rPr>
                <w:rFonts w:eastAsia="Times New Roman" w:cs="Arial"/>
                <w:sz w:val="24"/>
                <w:szCs w:val="24"/>
              </w:rPr>
              <w:t xml:space="preserve"> Objective</w:t>
            </w:r>
            <w:r w:rsidR="00AA6AB4">
              <w:rPr>
                <w:rFonts w:eastAsia="Times New Roman" w:cs="Arial"/>
                <w:sz w:val="24"/>
                <w:szCs w:val="24"/>
              </w:rPr>
              <w:t xml:space="preserve"> Analysis</w:t>
            </w:r>
          </w:p>
          <w:p w14:paraId="24D5EA69" w14:textId="0105C6C5" w:rsidR="005F6BB9" w:rsidRPr="00636695" w:rsidRDefault="005F6BB9" w:rsidP="005F6BB9">
            <w:pPr>
              <w:rPr>
                <w:rFonts w:eastAsia="Times New Roman" w:cs="Arial"/>
                <w:sz w:val="24"/>
                <w:szCs w:val="24"/>
              </w:rPr>
            </w:pPr>
            <w:r w:rsidRPr="00636695">
              <w:rPr>
                <w:rFonts w:eastAsia="Times New Roman" w:cs="Arial"/>
                <w:sz w:val="24"/>
                <w:szCs w:val="24"/>
              </w:rPr>
              <w:t>Appendix 2: Savings Programme 202</w:t>
            </w:r>
            <w:r w:rsidR="0065239F" w:rsidRPr="00636695">
              <w:rPr>
                <w:rFonts w:eastAsia="Times New Roman" w:cs="Arial"/>
                <w:sz w:val="24"/>
                <w:szCs w:val="24"/>
              </w:rPr>
              <w:t>3</w:t>
            </w:r>
            <w:r w:rsidRPr="00636695">
              <w:rPr>
                <w:rFonts w:eastAsia="Times New Roman" w:cs="Arial"/>
                <w:sz w:val="24"/>
                <w:szCs w:val="24"/>
              </w:rPr>
              <w:t>/2</w:t>
            </w:r>
            <w:r w:rsidR="0065239F" w:rsidRPr="00636695">
              <w:rPr>
                <w:rFonts w:eastAsia="Times New Roman" w:cs="Arial"/>
                <w:sz w:val="24"/>
                <w:szCs w:val="24"/>
              </w:rPr>
              <w:t>4</w:t>
            </w:r>
            <w:r w:rsidRPr="00636695">
              <w:rPr>
                <w:rFonts w:eastAsia="Times New Roman" w:cs="Arial"/>
                <w:sz w:val="24"/>
                <w:szCs w:val="24"/>
              </w:rPr>
              <w:t xml:space="preserve"> </w:t>
            </w:r>
          </w:p>
          <w:p w14:paraId="3D8E8F24" w14:textId="47623270" w:rsidR="005F6BB9" w:rsidRPr="00636695" w:rsidRDefault="005F6BB9" w:rsidP="005F6BB9">
            <w:pPr>
              <w:rPr>
                <w:rFonts w:eastAsia="Times New Roman" w:cs="Arial"/>
                <w:sz w:val="24"/>
                <w:szCs w:val="24"/>
              </w:rPr>
            </w:pPr>
            <w:r w:rsidRPr="00636695">
              <w:rPr>
                <w:rFonts w:eastAsia="Times New Roman" w:cs="Arial"/>
                <w:sz w:val="24"/>
                <w:szCs w:val="24"/>
              </w:rPr>
              <w:t>Appendix 3: Grants and Spending Plans 202</w:t>
            </w:r>
            <w:r w:rsidR="0065239F" w:rsidRPr="00636695">
              <w:rPr>
                <w:rFonts w:eastAsia="Times New Roman" w:cs="Arial"/>
                <w:sz w:val="24"/>
                <w:szCs w:val="24"/>
              </w:rPr>
              <w:t>3</w:t>
            </w:r>
            <w:r w:rsidRPr="00636695">
              <w:rPr>
                <w:rFonts w:eastAsia="Times New Roman" w:cs="Arial"/>
                <w:sz w:val="24"/>
                <w:szCs w:val="24"/>
              </w:rPr>
              <w:t>/2</w:t>
            </w:r>
            <w:r w:rsidR="0065239F" w:rsidRPr="00636695">
              <w:rPr>
                <w:rFonts w:eastAsia="Times New Roman" w:cs="Arial"/>
                <w:sz w:val="24"/>
                <w:szCs w:val="24"/>
              </w:rPr>
              <w:t>4</w:t>
            </w:r>
          </w:p>
          <w:p w14:paraId="0E088D9F" w14:textId="18B39456" w:rsidR="003151FE" w:rsidRPr="00636695" w:rsidRDefault="005F6BB9" w:rsidP="0069094A">
            <w:pPr>
              <w:rPr>
                <w:rFonts w:eastAsia="Times New Roman" w:cs="Arial"/>
                <w:sz w:val="24"/>
                <w:szCs w:val="24"/>
              </w:rPr>
            </w:pPr>
            <w:r w:rsidRPr="00636695">
              <w:rPr>
                <w:rFonts w:eastAsia="Times New Roman" w:cs="Arial"/>
                <w:sz w:val="24"/>
                <w:szCs w:val="24"/>
              </w:rPr>
              <w:t xml:space="preserve">Appendix 4: </w:t>
            </w:r>
            <w:r w:rsidR="003151FE" w:rsidRPr="00636695">
              <w:rPr>
                <w:rFonts w:eastAsia="Times New Roman" w:cs="Arial"/>
                <w:sz w:val="24"/>
                <w:szCs w:val="24"/>
              </w:rPr>
              <w:t>Capital Programme 2023/24 to 2027/28</w:t>
            </w:r>
          </w:p>
          <w:p w14:paraId="68A06CFD" w14:textId="33DD8524" w:rsidR="003151FE" w:rsidRPr="00636695" w:rsidRDefault="00643F11" w:rsidP="003151FE">
            <w:pPr>
              <w:rPr>
                <w:rFonts w:eastAsia="Times New Roman" w:cs="Arial"/>
                <w:sz w:val="24"/>
                <w:szCs w:val="24"/>
              </w:rPr>
            </w:pPr>
            <w:r w:rsidRPr="00636695">
              <w:rPr>
                <w:rFonts w:eastAsia="Times New Roman" w:cs="Arial"/>
                <w:sz w:val="24"/>
                <w:szCs w:val="24"/>
              </w:rPr>
              <w:t xml:space="preserve">Appendix </w:t>
            </w:r>
            <w:r w:rsidR="001C51E2" w:rsidRPr="00636695">
              <w:rPr>
                <w:rFonts w:eastAsia="Times New Roman" w:cs="Arial"/>
                <w:sz w:val="24"/>
                <w:szCs w:val="24"/>
              </w:rPr>
              <w:t>5</w:t>
            </w:r>
            <w:r w:rsidRPr="00636695">
              <w:rPr>
                <w:rFonts w:eastAsia="Times New Roman" w:cs="Arial"/>
                <w:sz w:val="24"/>
                <w:szCs w:val="24"/>
              </w:rPr>
              <w:t xml:space="preserve">: </w:t>
            </w:r>
            <w:r w:rsidR="003151FE" w:rsidRPr="00636695">
              <w:rPr>
                <w:rFonts w:eastAsia="Times New Roman" w:cs="Arial"/>
                <w:sz w:val="24"/>
                <w:szCs w:val="24"/>
              </w:rPr>
              <w:t xml:space="preserve"> Estates &amp; Engineering Capital Budgets 2023/24</w:t>
            </w:r>
          </w:p>
          <w:p w14:paraId="5041820A" w14:textId="63F0BB75" w:rsidR="005F6BB9" w:rsidRPr="00636695" w:rsidRDefault="003151FE" w:rsidP="005F6BB9">
            <w:pPr>
              <w:rPr>
                <w:rFonts w:eastAsia="Times New Roman" w:cs="Arial"/>
                <w:sz w:val="24"/>
                <w:szCs w:val="24"/>
              </w:rPr>
            </w:pPr>
            <w:r w:rsidRPr="00636695">
              <w:rPr>
                <w:rFonts w:eastAsia="Times New Roman" w:cs="Arial"/>
                <w:sz w:val="24"/>
                <w:szCs w:val="24"/>
              </w:rPr>
              <w:t xml:space="preserve">Appendix 6: </w:t>
            </w:r>
            <w:r w:rsidR="005F6BB9" w:rsidRPr="00636695">
              <w:rPr>
                <w:rFonts w:eastAsia="Times New Roman" w:cs="Arial"/>
                <w:sz w:val="24"/>
                <w:szCs w:val="24"/>
              </w:rPr>
              <w:t>Reserves 202</w:t>
            </w:r>
            <w:r w:rsidR="0065239F" w:rsidRPr="00636695">
              <w:rPr>
                <w:rFonts w:eastAsia="Times New Roman" w:cs="Arial"/>
                <w:sz w:val="24"/>
                <w:szCs w:val="24"/>
              </w:rPr>
              <w:t>3</w:t>
            </w:r>
            <w:r w:rsidR="005F6BB9" w:rsidRPr="00636695">
              <w:rPr>
                <w:rFonts w:eastAsia="Times New Roman" w:cs="Arial"/>
                <w:sz w:val="24"/>
                <w:szCs w:val="24"/>
              </w:rPr>
              <w:t>/2</w:t>
            </w:r>
            <w:r w:rsidR="0065239F" w:rsidRPr="00636695">
              <w:rPr>
                <w:rFonts w:eastAsia="Times New Roman" w:cs="Arial"/>
                <w:sz w:val="24"/>
                <w:szCs w:val="24"/>
              </w:rPr>
              <w:t>4</w:t>
            </w:r>
          </w:p>
          <w:p w14:paraId="01F265DC" w14:textId="1B202702" w:rsidR="00B57C6B" w:rsidRPr="00636695" w:rsidRDefault="00B57C6B" w:rsidP="005F6BB9">
            <w:pPr>
              <w:rPr>
                <w:rFonts w:eastAsia="Times New Roman" w:cs="Arial"/>
                <w:sz w:val="24"/>
                <w:szCs w:val="24"/>
              </w:rPr>
            </w:pPr>
            <w:r w:rsidRPr="00636695">
              <w:rPr>
                <w:rFonts w:eastAsia="Times New Roman" w:cs="Arial"/>
                <w:sz w:val="24"/>
                <w:szCs w:val="24"/>
              </w:rPr>
              <w:t>Appendix 7: ITG Strategy 2023/24</w:t>
            </w:r>
          </w:p>
          <w:p w14:paraId="3064A09C" w14:textId="77777777" w:rsidR="003151FE" w:rsidRPr="00636695" w:rsidRDefault="003151FE" w:rsidP="005F6BB9">
            <w:pPr>
              <w:rPr>
                <w:rFonts w:eastAsia="Times New Roman" w:cs="Arial"/>
                <w:sz w:val="24"/>
                <w:szCs w:val="24"/>
              </w:rPr>
            </w:pPr>
          </w:p>
          <w:p w14:paraId="1D0EF28D" w14:textId="77777777" w:rsidR="005F6BB9" w:rsidRPr="00636695" w:rsidRDefault="005F6BB9" w:rsidP="0065239F">
            <w:pPr>
              <w:rPr>
                <w:rFonts w:eastAsia="Times New Roman" w:cs="Arial"/>
                <w:sz w:val="24"/>
                <w:szCs w:val="24"/>
              </w:rPr>
            </w:pPr>
          </w:p>
        </w:tc>
      </w:tr>
      <w:tr w:rsidR="005F6BB9" w:rsidRPr="00301D4F" w14:paraId="5B21AB11" w14:textId="77777777" w:rsidTr="003F6E94">
        <w:tc>
          <w:tcPr>
            <w:tcW w:w="3012" w:type="dxa"/>
            <w:gridSpan w:val="2"/>
            <w:tcBorders>
              <w:bottom w:val="single" w:sz="4" w:space="0" w:color="auto"/>
            </w:tcBorders>
          </w:tcPr>
          <w:p w14:paraId="6332EBFE" w14:textId="77777777" w:rsidR="005F6BB9" w:rsidRPr="00301D4F" w:rsidRDefault="005F6BB9" w:rsidP="005F6BB9">
            <w:pPr>
              <w:rPr>
                <w:rFonts w:eastAsia="Times New Roman" w:cs="Arial"/>
                <w:b/>
                <w:bCs/>
                <w:color w:val="FF0000"/>
                <w:sz w:val="24"/>
                <w:szCs w:val="24"/>
                <w:highlight w:val="yellow"/>
              </w:rPr>
            </w:pPr>
          </w:p>
        </w:tc>
        <w:tc>
          <w:tcPr>
            <w:tcW w:w="6627" w:type="dxa"/>
            <w:gridSpan w:val="4"/>
            <w:tcBorders>
              <w:bottom w:val="single" w:sz="4" w:space="0" w:color="auto"/>
            </w:tcBorders>
          </w:tcPr>
          <w:p w14:paraId="33944B83" w14:textId="77777777" w:rsidR="005F6BB9" w:rsidRPr="00301D4F" w:rsidRDefault="005F6BB9" w:rsidP="005F6BB9">
            <w:pPr>
              <w:rPr>
                <w:rFonts w:eastAsia="Times New Roman" w:cs="Arial"/>
                <w:sz w:val="24"/>
                <w:szCs w:val="24"/>
                <w:highlight w:val="yellow"/>
              </w:rPr>
            </w:pPr>
          </w:p>
        </w:tc>
      </w:tr>
      <w:tr w:rsidR="005F6BB9" w:rsidRPr="00301D4F" w14:paraId="2409962F" w14:textId="77777777" w:rsidTr="003F6E94">
        <w:tc>
          <w:tcPr>
            <w:tcW w:w="3012" w:type="dxa"/>
            <w:gridSpan w:val="2"/>
            <w:tcBorders>
              <w:top w:val="single" w:sz="4" w:space="0" w:color="auto"/>
            </w:tcBorders>
          </w:tcPr>
          <w:p w14:paraId="35AC9A25" w14:textId="77777777" w:rsidR="005F6BB9" w:rsidRPr="00301D4F" w:rsidRDefault="005F6BB9" w:rsidP="005F6BB9">
            <w:pPr>
              <w:rPr>
                <w:rFonts w:eastAsia="Times New Roman" w:cs="Arial"/>
                <w:b/>
                <w:bCs/>
                <w:color w:val="FF0000"/>
                <w:sz w:val="24"/>
                <w:szCs w:val="24"/>
                <w:highlight w:val="yellow"/>
              </w:rPr>
            </w:pPr>
          </w:p>
        </w:tc>
        <w:tc>
          <w:tcPr>
            <w:tcW w:w="6627" w:type="dxa"/>
            <w:gridSpan w:val="4"/>
            <w:tcBorders>
              <w:top w:val="single" w:sz="4" w:space="0" w:color="auto"/>
            </w:tcBorders>
          </w:tcPr>
          <w:p w14:paraId="39A257A8" w14:textId="77777777" w:rsidR="005F6BB9" w:rsidRPr="00301D4F" w:rsidRDefault="005F6BB9" w:rsidP="005F6BB9">
            <w:pPr>
              <w:rPr>
                <w:rFonts w:eastAsia="Times New Roman" w:cs="Arial"/>
                <w:sz w:val="24"/>
                <w:szCs w:val="24"/>
                <w:highlight w:val="yellow"/>
              </w:rPr>
            </w:pPr>
          </w:p>
        </w:tc>
      </w:tr>
      <w:tr w:rsidR="005F6BB9" w:rsidRPr="00301D4F" w14:paraId="75AEF131" w14:textId="77777777" w:rsidTr="003F6E94">
        <w:tc>
          <w:tcPr>
            <w:tcW w:w="9639" w:type="dxa"/>
            <w:gridSpan w:val="6"/>
            <w:tcBorders>
              <w:bottom w:val="single" w:sz="4" w:space="0" w:color="auto"/>
            </w:tcBorders>
          </w:tcPr>
          <w:p w14:paraId="1ED34DDC" w14:textId="77777777" w:rsidR="005F6BB9" w:rsidRPr="000677F0" w:rsidRDefault="005F6BB9" w:rsidP="005F6BB9">
            <w:pPr>
              <w:rPr>
                <w:b/>
              </w:rPr>
            </w:pPr>
            <w:r w:rsidRPr="000677F0">
              <w:rPr>
                <w:rFonts w:eastAsia="Times New Roman" w:cs="Arial"/>
                <w:b/>
                <w:bCs/>
                <w:sz w:val="24"/>
                <w:szCs w:val="24"/>
              </w:rPr>
              <w:t xml:space="preserve">Implications (please tick </w:t>
            </w:r>
            <w:r w:rsidRPr="000677F0">
              <w:rPr>
                <w:b/>
              </w:rPr>
              <w:sym w:font="Wingdings" w:char="F0FC"/>
            </w:r>
            <w:r w:rsidRPr="000677F0">
              <w:rPr>
                <w:b/>
              </w:rPr>
              <w:t xml:space="preserve"> </w:t>
            </w:r>
            <w:r w:rsidRPr="000677F0">
              <w:rPr>
                <w:b/>
                <w:sz w:val="24"/>
                <w:szCs w:val="24"/>
              </w:rPr>
              <w:t xml:space="preserve">and </w:t>
            </w:r>
            <w:r w:rsidRPr="000677F0">
              <w:rPr>
                <w:rFonts w:eastAsia="Times New Roman" w:cs="Arial"/>
                <w:b/>
                <w:bCs/>
                <w:sz w:val="24"/>
                <w:szCs w:val="24"/>
              </w:rPr>
              <w:t>attach to report)</w:t>
            </w:r>
            <w:r w:rsidRPr="000677F0">
              <w:rPr>
                <w:b/>
                <w:sz w:val="24"/>
                <w:szCs w:val="24"/>
              </w:rPr>
              <w:t xml:space="preserve"> </w:t>
            </w:r>
          </w:p>
          <w:p w14:paraId="2B5EC106" w14:textId="77777777" w:rsidR="005F6BB9" w:rsidRPr="000677F0" w:rsidRDefault="005F6BB9" w:rsidP="005F6BB9">
            <w:pPr>
              <w:rPr>
                <w:b/>
                <w:i/>
                <w:sz w:val="20"/>
                <w:szCs w:val="20"/>
              </w:rPr>
            </w:pPr>
            <w:r w:rsidRPr="000677F0">
              <w:rPr>
                <w:b/>
                <w:i/>
                <w:sz w:val="20"/>
                <w:szCs w:val="20"/>
              </w:rPr>
              <w:t xml:space="preserve">Any implications affecting this report should be noted within the final paragraphs of the </w:t>
            </w:r>
            <w:proofErr w:type="gramStart"/>
            <w:r w:rsidRPr="000677F0">
              <w:rPr>
                <w:b/>
                <w:i/>
                <w:sz w:val="20"/>
                <w:szCs w:val="20"/>
              </w:rPr>
              <w:t>report</w:t>
            </w:r>
            <w:proofErr w:type="gramEnd"/>
          </w:p>
          <w:p w14:paraId="6D1FBD52" w14:textId="77777777" w:rsidR="005F6BB9" w:rsidRPr="000677F0" w:rsidRDefault="005F6BB9" w:rsidP="005F6BB9">
            <w:pPr>
              <w:rPr>
                <w:b/>
                <w:i/>
                <w:sz w:val="20"/>
                <w:szCs w:val="20"/>
              </w:rPr>
            </w:pPr>
          </w:p>
        </w:tc>
      </w:tr>
      <w:tr w:rsidR="005F6BB9" w:rsidRPr="00301D4F" w14:paraId="31C053F9" w14:textId="77777777" w:rsidTr="003F6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402" w:type="dxa"/>
            <w:gridSpan w:val="3"/>
          </w:tcPr>
          <w:p w14:paraId="5367CF20" w14:textId="77777777" w:rsidR="005F6BB9" w:rsidRPr="000677F0" w:rsidRDefault="005F6BB9" w:rsidP="005F6BB9">
            <w:pPr>
              <w:rPr>
                <w:rFonts w:eastAsia="Times New Roman" w:cs="Arial"/>
                <w:b/>
                <w:sz w:val="24"/>
                <w:szCs w:val="24"/>
              </w:rPr>
            </w:pPr>
            <w:r w:rsidRPr="000677F0">
              <w:rPr>
                <w:b/>
              </w:rPr>
              <w:br w:type="page"/>
            </w:r>
            <w:r w:rsidRPr="000677F0">
              <w:rPr>
                <w:rFonts w:eastAsia="Times New Roman" w:cs="Arial"/>
                <w:b/>
                <w:sz w:val="24"/>
                <w:szCs w:val="24"/>
              </w:rPr>
              <w:t>CORPORATE RISK</w:t>
            </w:r>
          </w:p>
        </w:tc>
        <w:tc>
          <w:tcPr>
            <w:tcW w:w="1418" w:type="dxa"/>
          </w:tcPr>
          <w:p w14:paraId="5081CEDF" w14:textId="77777777" w:rsidR="005F6BB9" w:rsidRPr="000677F0" w:rsidRDefault="005F6BB9" w:rsidP="005F6BB9">
            <w:pPr>
              <w:rPr>
                <w:rFonts w:eastAsia="Times New Roman" w:cs="Arial"/>
                <w:b/>
                <w:sz w:val="24"/>
                <w:szCs w:val="24"/>
              </w:rPr>
            </w:pPr>
          </w:p>
        </w:tc>
        <w:tc>
          <w:tcPr>
            <w:tcW w:w="3683" w:type="dxa"/>
          </w:tcPr>
          <w:p w14:paraId="1EEA2F75" w14:textId="77777777" w:rsidR="005F6BB9" w:rsidRPr="000677F0" w:rsidRDefault="005F6BB9" w:rsidP="005F6BB9">
            <w:pPr>
              <w:rPr>
                <w:rFonts w:eastAsia="Times New Roman" w:cs="Arial"/>
                <w:b/>
                <w:sz w:val="24"/>
                <w:szCs w:val="24"/>
              </w:rPr>
            </w:pPr>
            <w:r w:rsidRPr="000677F0">
              <w:rPr>
                <w:rFonts w:eastAsia="Times New Roman" w:cs="Arial"/>
                <w:b/>
                <w:sz w:val="24"/>
                <w:szCs w:val="24"/>
              </w:rPr>
              <w:t>LEGAL</w:t>
            </w:r>
          </w:p>
        </w:tc>
        <w:tc>
          <w:tcPr>
            <w:tcW w:w="1136" w:type="dxa"/>
          </w:tcPr>
          <w:p w14:paraId="192B6B4E" w14:textId="77777777" w:rsidR="005F6BB9" w:rsidRPr="00301D4F" w:rsidRDefault="005F6BB9" w:rsidP="005F6BB9">
            <w:pPr>
              <w:rPr>
                <w:rFonts w:eastAsia="Times New Roman" w:cs="Arial"/>
                <w:b/>
                <w:color w:val="FF0000"/>
                <w:sz w:val="24"/>
                <w:szCs w:val="24"/>
                <w:highlight w:val="yellow"/>
              </w:rPr>
            </w:pPr>
          </w:p>
        </w:tc>
      </w:tr>
      <w:tr w:rsidR="005F6BB9" w:rsidRPr="00301D4F" w14:paraId="1A446925" w14:textId="77777777" w:rsidTr="003F6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402" w:type="dxa"/>
            <w:gridSpan w:val="3"/>
          </w:tcPr>
          <w:p w14:paraId="3A62399F" w14:textId="77777777" w:rsidR="005F6BB9" w:rsidRPr="000677F0" w:rsidRDefault="005F6BB9" w:rsidP="005F6BB9">
            <w:pPr>
              <w:rPr>
                <w:rFonts w:eastAsia="Times New Roman" w:cs="Arial"/>
                <w:b/>
                <w:sz w:val="24"/>
                <w:szCs w:val="24"/>
              </w:rPr>
            </w:pPr>
            <w:r w:rsidRPr="000677F0">
              <w:rPr>
                <w:rFonts w:eastAsia="Times New Roman" w:cs="Arial"/>
                <w:b/>
                <w:sz w:val="24"/>
                <w:szCs w:val="24"/>
              </w:rPr>
              <w:t>ENVIRONMENTAL</w:t>
            </w:r>
          </w:p>
        </w:tc>
        <w:tc>
          <w:tcPr>
            <w:tcW w:w="1418" w:type="dxa"/>
          </w:tcPr>
          <w:p w14:paraId="65494B25" w14:textId="77777777" w:rsidR="005F6BB9" w:rsidRPr="000677F0" w:rsidRDefault="005F6BB9" w:rsidP="005F6BB9">
            <w:pPr>
              <w:rPr>
                <w:rFonts w:eastAsia="Times New Roman" w:cs="Arial"/>
                <w:b/>
                <w:sz w:val="24"/>
                <w:szCs w:val="24"/>
              </w:rPr>
            </w:pPr>
          </w:p>
        </w:tc>
        <w:tc>
          <w:tcPr>
            <w:tcW w:w="3683" w:type="dxa"/>
          </w:tcPr>
          <w:p w14:paraId="47D4C819" w14:textId="77777777" w:rsidR="005F6BB9" w:rsidRPr="000677F0" w:rsidRDefault="005F6BB9" w:rsidP="005F6BB9">
            <w:pPr>
              <w:rPr>
                <w:rFonts w:eastAsia="Times New Roman" w:cs="Arial"/>
                <w:b/>
                <w:sz w:val="24"/>
                <w:szCs w:val="24"/>
              </w:rPr>
            </w:pPr>
            <w:r w:rsidRPr="000677F0">
              <w:rPr>
                <w:rFonts w:eastAsia="Times New Roman" w:cs="Arial"/>
                <w:b/>
                <w:sz w:val="24"/>
                <w:szCs w:val="24"/>
              </w:rPr>
              <w:t>POLICY</w:t>
            </w:r>
          </w:p>
        </w:tc>
        <w:tc>
          <w:tcPr>
            <w:tcW w:w="1136" w:type="dxa"/>
          </w:tcPr>
          <w:p w14:paraId="490D3203" w14:textId="77777777" w:rsidR="005F6BB9" w:rsidRPr="00301D4F" w:rsidRDefault="005F6BB9" w:rsidP="005F6BB9">
            <w:pPr>
              <w:rPr>
                <w:rFonts w:eastAsia="Times New Roman" w:cs="Arial"/>
                <w:b/>
                <w:color w:val="FF0000"/>
                <w:sz w:val="24"/>
                <w:szCs w:val="24"/>
                <w:highlight w:val="yellow"/>
              </w:rPr>
            </w:pPr>
          </w:p>
        </w:tc>
      </w:tr>
      <w:tr w:rsidR="005F6BB9" w:rsidRPr="00301D4F" w14:paraId="3058C08F" w14:textId="77777777" w:rsidTr="003F6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402" w:type="dxa"/>
            <w:gridSpan w:val="3"/>
          </w:tcPr>
          <w:p w14:paraId="4D8271EE" w14:textId="77777777" w:rsidR="005F6BB9" w:rsidRPr="000677F0" w:rsidRDefault="005F6BB9" w:rsidP="005F6BB9">
            <w:pPr>
              <w:rPr>
                <w:rFonts w:eastAsia="Times New Roman" w:cs="Arial"/>
                <w:b/>
                <w:sz w:val="24"/>
                <w:szCs w:val="24"/>
              </w:rPr>
            </w:pPr>
            <w:r w:rsidRPr="000677F0">
              <w:rPr>
                <w:rFonts w:eastAsia="Times New Roman" w:cs="Arial"/>
                <w:b/>
                <w:sz w:val="24"/>
                <w:szCs w:val="24"/>
              </w:rPr>
              <w:t>FINANCIAL</w:t>
            </w:r>
          </w:p>
        </w:tc>
        <w:tc>
          <w:tcPr>
            <w:tcW w:w="1418" w:type="dxa"/>
          </w:tcPr>
          <w:p w14:paraId="205987DC" w14:textId="56D30774" w:rsidR="005F6BB9" w:rsidRPr="000677F0" w:rsidRDefault="005F6BB9" w:rsidP="005F6BB9">
            <w:pPr>
              <w:rPr>
                <w:rFonts w:eastAsia="Times New Roman" w:cs="Arial"/>
                <w:b/>
                <w:sz w:val="24"/>
                <w:szCs w:val="24"/>
              </w:rPr>
            </w:pPr>
            <w:r w:rsidRPr="000677F0">
              <w:rPr>
                <w:b/>
              </w:rPr>
              <w:sym w:font="Wingdings" w:char="F0FC"/>
            </w:r>
          </w:p>
        </w:tc>
        <w:tc>
          <w:tcPr>
            <w:tcW w:w="3683" w:type="dxa"/>
          </w:tcPr>
          <w:p w14:paraId="25BDD8F1" w14:textId="77777777" w:rsidR="005F6BB9" w:rsidRPr="000677F0" w:rsidRDefault="005F6BB9" w:rsidP="005F6BB9">
            <w:pPr>
              <w:rPr>
                <w:rFonts w:eastAsia="Times New Roman" w:cs="Arial"/>
                <w:b/>
                <w:sz w:val="24"/>
                <w:szCs w:val="24"/>
              </w:rPr>
            </w:pPr>
            <w:r w:rsidRPr="000677F0">
              <w:rPr>
                <w:rFonts w:eastAsia="Times New Roman" w:cs="Arial"/>
                <w:b/>
                <w:sz w:val="24"/>
                <w:szCs w:val="24"/>
              </w:rPr>
              <w:t>POLITICAL</w:t>
            </w:r>
          </w:p>
        </w:tc>
        <w:tc>
          <w:tcPr>
            <w:tcW w:w="1136" w:type="dxa"/>
          </w:tcPr>
          <w:p w14:paraId="7F385D1B" w14:textId="77777777" w:rsidR="005F6BB9" w:rsidRPr="00301D4F" w:rsidRDefault="005F6BB9" w:rsidP="005F6BB9">
            <w:pPr>
              <w:rPr>
                <w:rFonts w:eastAsia="Times New Roman" w:cs="Arial"/>
                <w:b/>
                <w:color w:val="FF0000"/>
                <w:sz w:val="24"/>
                <w:szCs w:val="24"/>
                <w:highlight w:val="yellow"/>
              </w:rPr>
            </w:pPr>
          </w:p>
        </w:tc>
      </w:tr>
      <w:tr w:rsidR="005F6BB9" w:rsidRPr="00301D4F" w14:paraId="3F45B210" w14:textId="77777777" w:rsidTr="003F6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402" w:type="dxa"/>
            <w:gridSpan w:val="3"/>
          </w:tcPr>
          <w:p w14:paraId="57DFE937" w14:textId="77777777" w:rsidR="005F6BB9" w:rsidRPr="000677F0" w:rsidRDefault="005F6BB9" w:rsidP="005F6BB9">
            <w:pPr>
              <w:rPr>
                <w:rFonts w:eastAsia="Times New Roman" w:cs="Arial"/>
                <w:b/>
                <w:sz w:val="24"/>
                <w:szCs w:val="24"/>
              </w:rPr>
            </w:pPr>
            <w:r w:rsidRPr="000677F0">
              <w:rPr>
                <w:rFonts w:eastAsia="Times New Roman" w:cs="Arial"/>
                <w:b/>
                <w:sz w:val="24"/>
                <w:szCs w:val="24"/>
              </w:rPr>
              <w:t>HEALTH &amp; SAFETY</w:t>
            </w:r>
          </w:p>
        </w:tc>
        <w:tc>
          <w:tcPr>
            <w:tcW w:w="1418" w:type="dxa"/>
          </w:tcPr>
          <w:p w14:paraId="4402D6D2" w14:textId="77777777" w:rsidR="005F6BB9" w:rsidRPr="000677F0" w:rsidRDefault="005F6BB9" w:rsidP="005F6BB9">
            <w:pPr>
              <w:rPr>
                <w:rFonts w:eastAsia="Times New Roman" w:cs="Arial"/>
                <w:b/>
                <w:sz w:val="24"/>
                <w:szCs w:val="24"/>
              </w:rPr>
            </w:pPr>
          </w:p>
        </w:tc>
        <w:tc>
          <w:tcPr>
            <w:tcW w:w="3683" w:type="dxa"/>
          </w:tcPr>
          <w:p w14:paraId="3BF80916" w14:textId="77777777" w:rsidR="005F6BB9" w:rsidRPr="000677F0" w:rsidRDefault="005F6BB9" w:rsidP="005F6BB9">
            <w:pPr>
              <w:rPr>
                <w:rFonts w:eastAsia="Times New Roman" w:cs="Arial"/>
                <w:b/>
                <w:sz w:val="24"/>
                <w:szCs w:val="24"/>
              </w:rPr>
            </w:pPr>
            <w:r w:rsidRPr="000677F0">
              <w:rPr>
                <w:rFonts w:eastAsia="Times New Roman" w:cs="Arial"/>
                <w:b/>
                <w:sz w:val="24"/>
                <w:szCs w:val="24"/>
              </w:rPr>
              <w:t>OTHER (please specify)</w:t>
            </w:r>
          </w:p>
        </w:tc>
        <w:tc>
          <w:tcPr>
            <w:tcW w:w="1136" w:type="dxa"/>
          </w:tcPr>
          <w:p w14:paraId="35815FD1" w14:textId="77777777" w:rsidR="005F6BB9" w:rsidRPr="00301D4F" w:rsidRDefault="005F6BB9" w:rsidP="005F6BB9">
            <w:pPr>
              <w:rPr>
                <w:rFonts w:eastAsia="Times New Roman" w:cs="Arial"/>
                <w:b/>
                <w:color w:val="FF0000"/>
                <w:sz w:val="24"/>
                <w:szCs w:val="24"/>
                <w:highlight w:val="yellow"/>
              </w:rPr>
            </w:pPr>
          </w:p>
        </w:tc>
      </w:tr>
      <w:tr w:rsidR="005F6BB9" w:rsidRPr="00301D4F" w14:paraId="0A489A3C" w14:textId="77777777" w:rsidTr="003F6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402" w:type="dxa"/>
            <w:gridSpan w:val="3"/>
          </w:tcPr>
          <w:p w14:paraId="6FCCE12F" w14:textId="77777777" w:rsidR="005F6BB9" w:rsidRPr="000677F0" w:rsidRDefault="005F6BB9" w:rsidP="005F6BB9">
            <w:pPr>
              <w:rPr>
                <w:rFonts w:eastAsia="Times New Roman" w:cs="Arial"/>
                <w:b/>
                <w:sz w:val="24"/>
                <w:szCs w:val="24"/>
              </w:rPr>
            </w:pPr>
            <w:r w:rsidRPr="000677F0">
              <w:rPr>
                <w:rFonts w:eastAsia="Times New Roman" w:cs="Arial"/>
                <w:b/>
                <w:sz w:val="24"/>
                <w:szCs w:val="24"/>
              </w:rPr>
              <w:t>HUMAN RESOURCES</w:t>
            </w:r>
          </w:p>
        </w:tc>
        <w:tc>
          <w:tcPr>
            <w:tcW w:w="1418" w:type="dxa"/>
          </w:tcPr>
          <w:p w14:paraId="21E7ABF5" w14:textId="77777777" w:rsidR="005F6BB9" w:rsidRPr="000677F0" w:rsidRDefault="005F6BB9" w:rsidP="005F6BB9">
            <w:pPr>
              <w:rPr>
                <w:rFonts w:eastAsia="Times New Roman" w:cs="Arial"/>
                <w:b/>
                <w:sz w:val="24"/>
                <w:szCs w:val="24"/>
              </w:rPr>
            </w:pPr>
          </w:p>
        </w:tc>
        <w:tc>
          <w:tcPr>
            <w:tcW w:w="3683" w:type="dxa"/>
          </w:tcPr>
          <w:p w14:paraId="4FBC8E6D" w14:textId="77777777" w:rsidR="005F6BB9" w:rsidRPr="000677F0" w:rsidRDefault="005F6BB9" w:rsidP="005F6BB9">
            <w:pPr>
              <w:rPr>
                <w:rFonts w:eastAsia="Times New Roman" w:cs="Arial"/>
                <w:b/>
                <w:sz w:val="24"/>
                <w:szCs w:val="24"/>
              </w:rPr>
            </w:pPr>
            <w:r w:rsidRPr="000677F0">
              <w:rPr>
                <w:rFonts w:eastAsia="Times New Roman" w:cs="Arial"/>
                <w:b/>
                <w:sz w:val="24"/>
                <w:szCs w:val="24"/>
              </w:rPr>
              <w:t>CORE BRIEF</w:t>
            </w:r>
          </w:p>
        </w:tc>
        <w:tc>
          <w:tcPr>
            <w:tcW w:w="1136" w:type="dxa"/>
          </w:tcPr>
          <w:p w14:paraId="0FB0BCD3" w14:textId="77777777" w:rsidR="005F6BB9" w:rsidRPr="00301D4F" w:rsidRDefault="005F6BB9" w:rsidP="005F6BB9">
            <w:pPr>
              <w:rPr>
                <w:rFonts w:eastAsia="Times New Roman" w:cs="Arial"/>
                <w:b/>
                <w:color w:val="FF0000"/>
                <w:sz w:val="24"/>
                <w:szCs w:val="24"/>
                <w:highlight w:val="yellow"/>
              </w:rPr>
            </w:pPr>
          </w:p>
        </w:tc>
      </w:tr>
      <w:tr w:rsidR="005F6BB9" w:rsidRPr="00301D4F" w14:paraId="3EE88F78" w14:textId="77777777" w:rsidTr="006917B0">
        <w:tc>
          <w:tcPr>
            <w:tcW w:w="9639" w:type="dxa"/>
            <w:gridSpan w:val="6"/>
            <w:tcBorders>
              <w:top w:val="single" w:sz="4" w:space="0" w:color="auto"/>
              <w:left w:val="single" w:sz="4" w:space="0" w:color="auto"/>
              <w:right w:val="single" w:sz="4" w:space="0" w:color="auto"/>
            </w:tcBorders>
          </w:tcPr>
          <w:p w14:paraId="1E51B063" w14:textId="59A76D23" w:rsidR="005F6BB9" w:rsidRPr="00301D4F" w:rsidRDefault="005F6BB9" w:rsidP="005F6BB9">
            <w:pPr>
              <w:rPr>
                <w:rFonts w:eastAsia="Times New Roman" w:cs="Arial"/>
                <w:sz w:val="24"/>
                <w:szCs w:val="24"/>
                <w:highlight w:val="yellow"/>
              </w:rPr>
            </w:pPr>
          </w:p>
        </w:tc>
      </w:tr>
      <w:tr w:rsidR="005F6BB9" w:rsidRPr="00301D4F" w14:paraId="5D5EFE7E" w14:textId="77777777" w:rsidTr="003F6E94">
        <w:tc>
          <w:tcPr>
            <w:tcW w:w="2978" w:type="dxa"/>
            <w:tcBorders>
              <w:top w:val="single" w:sz="4" w:space="0" w:color="auto"/>
            </w:tcBorders>
          </w:tcPr>
          <w:p w14:paraId="7AD4CFB3" w14:textId="26190219" w:rsidR="005F6BB9" w:rsidRPr="00301D4F" w:rsidRDefault="005F6BB9" w:rsidP="005F6BB9">
            <w:pPr>
              <w:rPr>
                <w:highlight w:val="yellow"/>
              </w:rPr>
            </w:pPr>
            <w:r w:rsidRPr="00301D4F">
              <w:rPr>
                <w:highlight w:val="yellow"/>
              </w:rPr>
              <w:br w:type="page"/>
            </w:r>
          </w:p>
        </w:tc>
        <w:tc>
          <w:tcPr>
            <w:tcW w:w="6661" w:type="dxa"/>
            <w:gridSpan w:val="5"/>
            <w:tcBorders>
              <w:top w:val="single" w:sz="4" w:space="0" w:color="auto"/>
            </w:tcBorders>
          </w:tcPr>
          <w:p w14:paraId="5130EF73" w14:textId="77777777" w:rsidR="005F6BB9" w:rsidRPr="00301D4F" w:rsidRDefault="005F6BB9" w:rsidP="005F6BB9">
            <w:pPr>
              <w:rPr>
                <w:rFonts w:eastAsia="Times New Roman" w:cs="Arial"/>
                <w:sz w:val="24"/>
                <w:szCs w:val="24"/>
                <w:highlight w:val="yellow"/>
              </w:rPr>
            </w:pPr>
          </w:p>
        </w:tc>
      </w:tr>
      <w:tr w:rsidR="005F6BB9" w:rsidRPr="00301D4F" w14:paraId="3408B1E5" w14:textId="77777777" w:rsidTr="00573DBD">
        <w:tc>
          <w:tcPr>
            <w:tcW w:w="2978" w:type="dxa"/>
          </w:tcPr>
          <w:p w14:paraId="2056214F" w14:textId="41CD7CF9" w:rsidR="005F6BB9" w:rsidRPr="000677F0" w:rsidRDefault="005F6BB9" w:rsidP="005F6BB9">
            <w:pPr>
              <w:rPr>
                <w:rFonts w:eastAsia="Times New Roman" w:cs="Arial"/>
                <w:b/>
                <w:bCs/>
                <w:sz w:val="24"/>
                <w:szCs w:val="24"/>
              </w:rPr>
            </w:pPr>
            <w:r w:rsidRPr="000677F0">
              <w:rPr>
                <w:rFonts w:eastAsia="Times New Roman" w:cs="Arial"/>
                <w:b/>
                <w:bCs/>
                <w:sz w:val="24"/>
                <w:szCs w:val="24"/>
              </w:rPr>
              <w:lastRenderedPageBreak/>
              <w:t>PURPOSE OF REPORT</w:t>
            </w:r>
          </w:p>
        </w:tc>
        <w:tc>
          <w:tcPr>
            <w:tcW w:w="6661" w:type="dxa"/>
            <w:gridSpan w:val="5"/>
          </w:tcPr>
          <w:p w14:paraId="23489F01" w14:textId="431DB9EF" w:rsidR="005F6BB9" w:rsidRPr="000677F0" w:rsidRDefault="005F6BB9" w:rsidP="005F6BB9">
            <w:pPr>
              <w:rPr>
                <w:rFonts w:eastAsia="Times New Roman" w:cs="Arial"/>
                <w:sz w:val="24"/>
                <w:szCs w:val="24"/>
              </w:rPr>
            </w:pPr>
            <w:r w:rsidRPr="000677F0">
              <w:rPr>
                <w:rFonts w:eastAsia="Times New Roman" w:cs="Arial"/>
                <w:spacing w:val="-2"/>
                <w:sz w:val="24"/>
                <w:szCs w:val="24"/>
              </w:rPr>
              <w:t xml:space="preserve">To report on the findings of the Month </w:t>
            </w:r>
            <w:r w:rsidR="000677F0" w:rsidRPr="000677F0">
              <w:rPr>
                <w:rFonts w:eastAsia="Times New Roman" w:cs="Arial"/>
                <w:spacing w:val="-2"/>
                <w:sz w:val="24"/>
                <w:szCs w:val="24"/>
              </w:rPr>
              <w:t>8</w:t>
            </w:r>
            <w:r w:rsidRPr="000677F0">
              <w:rPr>
                <w:rFonts w:eastAsia="Times New Roman" w:cs="Arial"/>
                <w:spacing w:val="-2"/>
                <w:sz w:val="24"/>
                <w:szCs w:val="24"/>
              </w:rPr>
              <w:t xml:space="preserve"> monitoring undertaken on the Revenue and Capital Budget 202</w:t>
            </w:r>
            <w:r w:rsidR="0065239F" w:rsidRPr="000677F0">
              <w:rPr>
                <w:rFonts w:eastAsia="Times New Roman" w:cs="Arial"/>
                <w:spacing w:val="-2"/>
                <w:sz w:val="24"/>
                <w:szCs w:val="24"/>
              </w:rPr>
              <w:t>3</w:t>
            </w:r>
            <w:r w:rsidRPr="000677F0">
              <w:rPr>
                <w:rFonts w:eastAsia="Times New Roman" w:cs="Arial"/>
                <w:spacing w:val="-2"/>
                <w:sz w:val="24"/>
                <w:szCs w:val="24"/>
              </w:rPr>
              <w:t>/2</w:t>
            </w:r>
            <w:r w:rsidR="0065239F" w:rsidRPr="000677F0">
              <w:rPr>
                <w:rFonts w:eastAsia="Times New Roman" w:cs="Arial"/>
                <w:spacing w:val="-2"/>
                <w:sz w:val="24"/>
                <w:szCs w:val="24"/>
              </w:rPr>
              <w:t>4</w:t>
            </w:r>
            <w:r w:rsidRPr="000677F0">
              <w:rPr>
                <w:rFonts w:eastAsia="Times New Roman" w:cs="Arial"/>
                <w:spacing w:val="-2"/>
                <w:sz w:val="24"/>
                <w:szCs w:val="24"/>
              </w:rPr>
              <w:t xml:space="preserve"> and Capital Programme 202</w:t>
            </w:r>
            <w:r w:rsidR="0065239F" w:rsidRPr="000677F0">
              <w:rPr>
                <w:rFonts w:eastAsia="Times New Roman" w:cs="Arial"/>
                <w:spacing w:val="-2"/>
                <w:sz w:val="24"/>
                <w:szCs w:val="24"/>
              </w:rPr>
              <w:t>3</w:t>
            </w:r>
            <w:r w:rsidRPr="000677F0">
              <w:rPr>
                <w:rFonts w:eastAsia="Times New Roman" w:cs="Arial"/>
                <w:spacing w:val="-2"/>
                <w:sz w:val="24"/>
                <w:szCs w:val="24"/>
              </w:rPr>
              <w:t>/2</w:t>
            </w:r>
            <w:r w:rsidR="0065239F" w:rsidRPr="000677F0">
              <w:rPr>
                <w:rFonts w:eastAsia="Times New Roman" w:cs="Arial"/>
                <w:spacing w:val="-2"/>
                <w:sz w:val="24"/>
                <w:szCs w:val="24"/>
              </w:rPr>
              <w:t>4</w:t>
            </w:r>
            <w:r w:rsidRPr="000677F0">
              <w:rPr>
                <w:rFonts w:eastAsia="Times New Roman" w:cs="Arial"/>
                <w:spacing w:val="-2"/>
                <w:sz w:val="24"/>
                <w:szCs w:val="24"/>
              </w:rPr>
              <w:t xml:space="preserve"> to 202</w:t>
            </w:r>
            <w:r w:rsidR="0065239F" w:rsidRPr="000677F0">
              <w:rPr>
                <w:rFonts w:eastAsia="Times New Roman" w:cs="Arial"/>
                <w:spacing w:val="-2"/>
                <w:sz w:val="24"/>
                <w:szCs w:val="24"/>
              </w:rPr>
              <w:t>7</w:t>
            </w:r>
            <w:r w:rsidRPr="000677F0">
              <w:rPr>
                <w:rFonts w:eastAsia="Times New Roman" w:cs="Arial"/>
                <w:spacing w:val="-2"/>
                <w:sz w:val="24"/>
                <w:szCs w:val="24"/>
              </w:rPr>
              <w:t>/2</w:t>
            </w:r>
            <w:r w:rsidR="0065239F" w:rsidRPr="000677F0">
              <w:rPr>
                <w:rFonts w:eastAsia="Times New Roman" w:cs="Arial"/>
                <w:spacing w:val="-2"/>
                <w:sz w:val="24"/>
                <w:szCs w:val="24"/>
              </w:rPr>
              <w:t>8</w:t>
            </w:r>
            <w:r w:rsidRPr="000677F0">
              <w:rPr>
                <w:rFonts w:eastAsia="Times New Roman" w:cs="Arial"/>
                <w:spacing w:val="-2"/>
                <w:sz w:val="24"/>
                <w:szCs w:val="24"/>
              </w:rPr>
              <w:t>.</w:t>
            </w:r>
          </w:p>
        </w:tc>
      </w:tr>
      <w:tr w:rsidR="005F6BB9" w:rsidRPr="00301D4F" w14:paraId="0CD94CC8" w14:textId="77777777" w:rsidTr="00573DBD">
        <w:tc>
          <w:tcPr>
            <w:tcW w:w="2978" w:type="dxa"/>
            <w:tcBorders>
              <w:bottom w:val="single" w:sz="4" w:space="0" w:color="auto"/>
            </w:tcBorders>
          </w:tcPr>
          <w:p w14:paraId="4C9D7170" w14:textId="0340243E" w:rsidR="005F6BB9" w:rsidRPr="00301D4F" w:rsidRDefault="005F6BB9" w:rsidP="005F6BB9">
            <w:pPr>
              <w:rPr>
                <w:rFonts w:eastAsia="Times New Roman" w:cs="Arial"/>
                <w:b/>
                <w:bCs/>
                <w:sz w:val="24"/>
                <w:szCs w:val="24"/>
                <w:highlight w:val="yellow"/>
              </w:rPr>
            </w:pPr>
          </w:p>
        </w:tc>
        <w:tc>
          <w:tcPr>
            <w:tcW w:w="6661" w:type="dxa"/>
            <w:gridSpan w:val="5"/>
            <w:tcBorders>
              <w:bottom w:val="single" w:sz="4" w:space="0" w:color="auto"/>
            </w:tcBorders>
          </w:tcPr>
          <w:p w14:paraId="4F15A7F5" w14:textId="77777777" w:rsidR="005F6BB9" w:rsidRPr="00301D4F" w:rsidRDefault="005F6BB9" w:rsidP="005F6BB9">
            <w:pPr>
              <w:tabs>
                <w:tab w:val="left" w:pos="851"/>
              </w:tabs>
              <w:ind w:right="112"/>
              <w:jc w:val="both"/>
              <w:rPr>
                <w:rFonts w:eastAsia="Times New Roman" w:cs="Arial"/>
                <w:b/>
                <w:spacing w:val="-2"/>
                <w:sz w:val="24"/>
                <w:szCs w:val="24"/>
                <w:highlight w:val="yellow"/>
              </w:rPr>
            </w:pPr>
          </w:p>
        </w:tc>
      </w:tr>
      <w:tr w:rsidR="005F6BB9" w:rsidRPr="00301D4F" w14:paraId="2992F4A5" w14:textId="77777777" w:rsidTr="00573DBD">
        <w:tc>
          <w:tcPr>
            <w:tcW w:w="2978" w:type="dxa"/>
          </w:tcPr>
          <w:p w14:paraId="076341EB" w14:textId="77777777" w:rsidR="005F6BB9" w:rsidRPr="00301D4F" w:rsidRDefault="005F6BB9" w:rsidP="005F6BB9">
            <w:pPr>
              <w:rPr>
                <w:rFonts w:eastAsia="Times New Roman" w:cs="Arial"/>
                <w:b/>
                <w:sz w:val="24"/>
                <w:szCs w:val="24"/>
                <w:highlight w:val="yellow"/>
              </w:rPr>
            </w:pPr>
          </w:p>
        </w:tc>
        <w:tc>
          <w:tcPr>
            <w:tcW w:w="6661" w:type="dxa"/>
            <w:gridSpan w:val="5"/>
          </w:tcPr>
          <w:p w14:paraId="05E47CC3" w14:textId="77777777" w:rsidR="005F6BB9" w:rsidRPr="00301D4F" w:rsidRDefault="005F6BB9" w:rsidP="005F6BB9">
            <w:pPr>
              <w:rPr>
                <w:rFonts w:eastAsia="Times New Roman" w:cs="Arial"/>
                <w:sz w:val="24"/>
                <w:szCs w:val="24"/>
                <w:highlight w:val="yellow"/>
              </w:rPr>
            </w:pPr>
          </w:p>
        </w:tc>
      </w:tr>
      <w:tr w:rsidR="005F6BB9" w:rsidRPr="00301D4F" w14:paraId="4D33033F" w14:textId="77777777" w:rsidTr="003F6E94">
        <w:tc>
          <w:tcPr>
            <w:tcW w:w="2978" w:type="dxa"/>
          </w:tcPr>
          <w:p w14:paraId="05C03370" w14:textId="4EBB1273" w:rsidR="005F6BB9" w:rsidRPr="00301D4F" w:rsidRDefault="005F6BB9" w:rsidP="005F6BB9">
            <w:pPr>
              <w:rPr>
                <w:rFonts w:eastAsia="Times New Roman" w:cs="Arial"/>
                <w:b/>
                <w:sz w:val="24"/>
                <w:szCs w:val="24"/>
                <w:highlight w:val="yellow"/>
              </w:rPr>
            </w:pPr>
            <w:r w:rsidRPr="007C7CF3">
              <w:rPr>
                <w:rFonts w:eastAsia="Times New Roman" w:cs="Arial"/>
                <w:b/>
                <w:bCs/>
                <w:sz w:val="24"/>
                <w:szCs w:val="24"/>
              </w:rPr>
              <w:t>EXECUTIVE SUMMARY</w:t>
            </w:r>
          </w:p>
        </w:tc>
        <w:tc>
          <w:tcPr>
            <w:tcW w:w="6661" w:type="dxa"/>
            <w:gridSpan w:val="5"/>
          </w:tcPr>
          <w:p w14:paraId="3D93F598" w14:textId="53BD7E47" w:rsidR="005F6BB9" w:rsidRPr="000677F0" w:rsidRDefault="005F6BB9" w:rsidP="005F6BB9">
            <w:pPr>
              <w:jc w:val="both"/>
              <w:rPr>
                <w:sz w:val="24"/>
                <w:szCs w:val="24"/>
                <w:lang w:val="en-US"/>
              </w:rPr>
            </w:pPr>
            <w:r w:rsidRPr="000677F0">
              <w:rPr>
                <w:rFonts w:eastAsia="Times New Roman" w:cs="Arial"/>
                <w:sz w:val="24"/>
                <w:szCs w:val="24"/>
              </w:rPr>
              <w:t xml:space="preserve">This is </w:t>
            </w:r>
            <w:r w:rsidRPr="00F34418">
              <w:rPr>
                <w:rFonts w:eastAsia="Times New Roman" w:cs="Arial"/>
                <w:sz w:val="24"/>
                <w:szCs w:val="24"/>
              </w:rPr>
              <w:t xml:space="preserve">the </w:t>
            </w:r>
            <w:r w:rsidR="000677F0" w:rsidRPr="00F34418">
              <w:rPr>
                <w:rFonts w:eastAsia="Times New Roman" w:cs="Arial"/>
                <w:sz w:val="24"/>
                <w:szCs w:val="24"/>
              </w:rPr>
              <w:t>fourth</w:t>
            </w:r>
            <w:r w:rsidR="00274535" w:rsidRPr="000677F0">
              <w:rPr>
                <w:rFonts w:eastAsia="Times New Roman" w:cs="Arial"/>
                <w:sz w:val="24"/>
                <w:szCs w:val="24"/>
              </w:rPr>
              <w:t xml:space="preserve"> </w:t>
            </w:r>
            <w:r w:rsidRPr="000677F0">
              <w:rPr>
                <w:rFonts w:eastAsia="Times New Roman" w:cs="Arial"/>
                <w:sz w:val="24"/>
                <w:szCs w:val="24"/>
              </w:rPr>
              <w:t xml:space="preserve">report to </w:t>
            </w:r>
            <w:r w:rsidR="00AA6AB4">
              <w:rPr>
                <w:rFonts w:eastAsia="Times New Roman" w:cs="Arial"/>
                <w:sz w:val="24"/>
                <w:szCs w:val="24"/>
              </w:rPr>
              <w:t>Members</w:t>
            </w:r>
            <w:r w:rsidRPr="000677F0">
              <w:rPr>
                <w:rFonts w:eastAsia="Times New Roman" w:cs="Arial"/>
                <w:sz w:val="24"/>
                <w:szCs w:val="24"/>
              </w:rPr>
              <w:t xml:space="preserve"> for the 202</w:t>
            </w:r>
            <w:r w:rsidR="00C01B7A" w:rsidRPr="000677F0">
              <w:rPr>
                <w:rFonts w:eastAsia="Times New Roman" w:cs="Arial"/>
                <w:sz w:val="24"/>
                <w:szCs w:val="24"/>
              </w:rPr>
              <w:t>3</w:t>
            </w:r>
            <w:r w:rsidRPr="000677F0">
              <w:rPr>
                <w:rFonts w:eastAsia="Times New Roman" w:cs="Arial"/>
                <w:sz w:val="24"/>
                <w:szCs w:val="24"/>
              </w:rPr>
              <w:t>/2</w:t>
            </w:r>
            <w:r w:rsidR="00C01B7A" w:rsidRPr="000677F0">
              <w:rPr>
                <w:rFonts w:eastAsia="Times New Roman" w:cs="Arial"/>
                <w:sz w:val="24"/>
                <w:szCs w:val="24"/>
              </w:rPr>
              <w:t>4</w:t>
            </w:r>
            <w:r w:rsidRPr="000677F0">
              <w:rPr>
                <w:rFonts w:eastAsia="Times New Roman" w:cs="Arial"/>
                <w:sz w:val="24"/>
                <w:szCs w:val="24"/>
              </w:rPr>
              <w:t xml:space="preserve"> financial year and highlights the findings from the Month </w:t>
            </w:r>
            <w:r w:rsidR="000677F0" w:rsidRPr="000677F0">
              <w:rPr>
                <w:rFonts w:eastAsia="Times New Roman" w:cs="Arial"/>
                <w:sz w:val="24"/>
                <w:szCs w:val="24"/>
              </w:rPr>
              <w:t>8</w:t>
            </w:r>
            <w:r w:rsidRPr="000677F0">
              <w:rPr>
                <w:rFonts w:eastAsia="Times New Roman" w:cs="Arial"/>
                <w:sz w:val="24"/>
                <w:szCs w:val="24"/>
              </w:rPr>
              <w:t xml:space="preserve"> monitoring undertaken on the Revenue Budget </w:t>
            </w:r>
            <w:proofErr w:type="gramStart"/>
            <w:r w:rsidRPr="000677F0">
              <w:rPr>
                <w:rFonts w:eastAsia="Times New Roman" w:cs="Arial"/>
                <w:sz w:val="24"/>
                <w:szCs w:val="24"/>
              </w:rPr>
              <w:t>202</w:t>
            </w:r>
            <w:r w:rsidR="00C01B7A" w:rsidRPr="000677F0">
              <w:rPr>
                <w:rFonts w:eastAsia="Times New Roman" w:cs="Arial"/>
                <w:sz w:val="24"/>
                <w:szCs w:val="24"/>
              </w:rPr>
              <w:t>3</w:t>
            </w:r>
            <w:r w:rsidRPr="000677F0">
              <w:rPr>
                <w:rFonts w:eastAsia="Times New Roman" w:cs="Arial"/>
                <w:sz w:val="24"/>
                <w:szCs w:val="24"/>
              </w:rPr>
              <w:t>/2</w:t>
            </w:r>
            <w:r w:rsidR="00C01B7A" w:rsidRPr="000677F0">
              <w:rPr>
                <w:rFonts w:eastAsia="Times New Roman" w:cs="Arial"/>
                <w:sz w:val="24"/>
                <w:szCs w:val="24"/>
              </w:rPr>
              <w:t>4</w:t>
            </w:r>
            <w:r w:rsidRPr="000677F0">
              <w:rPr>
                <w:rFonts w:eastAsia="Times New Roman" w:cs="Arial"/>
                <w:sz w:val="24"/>
                <w:szCs w:val="24"/>
              </w:rPr>
              <w:t xml:space="preserve"> and 5 year</w:t>
            </w:r>
            <w:proofErr w:type="gramEnd"/>
            <w:r w:rsidRPr="000677F0">
              <w:rPr>
                <w:rFonts w:eastAsia="Times New Roman" w:cs="Arial"/>
                <w:sz w:val="24"/>
                <w:szCs w:val="24"/>
              </w:rPr>
              <w:t xml:space="preserve"> Capital Programme 202</w:t>
            </w:r>
            <w:r w:rsidR="00C01B7A" w:rsidRPr="000677F0">
              <w:rPr>
                <w:rFonts w:eastAsia="Times New Roman" w:cs="Arial"/>
                <w:sz w:val="24"/>
                <w:szCs w:val="24"/>
              </w:rPr>
              <w:t>3</w:t>
            </w:r>
            <w:r w:rsidRPr="000677F0">
              <w:rPr>
                <w:rFonts w:eastAsia="Times New Roman" w:cs="Arial"/>
                <w:sz w:val="24"/>
                <w:szCs w:val="24"/>
              </w:rPr>
              <w:t>/2</w:t>
            </w:r>
            <w:r w:rsidR="00C01B7A" w:rsidRPr="000677F0">
              <w:rPr>
                <w:rFonts w:eastAsia="Times New Roman" w:cs="Arial"/>
                <w:sz w:val="24"/>
                <w:szCs w:val="24"/>
              </w:rPr>
              <w:t>4</w:t>
            </w:r>
            <w:r w:rsidRPr="000677F0">
              <w:rPr>
                <w:rFonts w:eastAsia="Times New Roman" w:cs="Arial"/>
                <w:sz w:val="24"/>
                <w:szCs w:val="24"/>
              </w:rPr>
              <w:t xml:space="preserve"> to 202</w:t>
            </w:r>
            <w:r w:rsidR="00C01B7A" w:rsidRPr="000677F0">
              <w:rPr>
                <w:rFonts w:eastAsia="Times New Roman" w:cs="Arial"/>
                <w:sz w:val="24"/>
                <w:szCs w:val="24"/>
              </w:rPr>
              <w:t>7</w:t>
            </w:r>
            <w:r w:rsidRPr="000677F0">
              <w:rPr>
                <w:rFonts w:eastAsia="Times New Roman" w:cs="Arial"/>
                <w:sz w:val="24"/>
                <w:szCs w:val="24"/>
              </w:rPr>
              <w:t>/2</w:t>
            </w:r>
            <w:r w:rsidR="00C01B7A" w:rsidRPr="000677F0">
              <w:rPr>
                <w:rFonts w:eastAsia="Times New Roman" w:cs="Arial"/>
                <w:sz w:val="24"/>
                <w:szCs w:val="24"/>
              </w:rPr>
              <w:t>8</w:t>
            </w:r>
            <w:r w:rsidRPr="000677F0">
              <w:rPr>
                <w:rFonts w:eastAsia="Times New Roman" w:cs="Arial"/>
                <w:sz w:val="24"/>
                <w:szCs w:val="24"/>
              </w:rPr>
              <w:t>, approved by the Authority in February 202</w:t>
            </w:r>
            <w:r w:rsidR="00C01B7A" w:rsidRPr="000677F0">
              <w:rPr>
                <w:rFonts w:eastAsia="Times New Roman" w:cs="Arial"/>
                <w:sz w:val="24"/>
                <w:szCs w:val="24"/>
              </w:rPr>
              <w:t>3</w:t>
            </w:r>
            <w:r w:rsidRPr="000677F0">
              <w:rPr>
                <w:rFonts w:eastAsia="Times New Roman" w:cs="Arial"/>
                <w:sz w:val="24"/>
                <w:szCs w:val="24"/>
              </w:rPr>
              <w:t>.</w:t>
            </w:r>
          </w:p>
          <w:p w14:paraId="70419D42" w14:textId="77777777" w:rsidR="005F6BB9" w:rsidRPr="00301D4F" w:rsidRDefault="005F6BB9" w:rsidP="005F6BB9">
            <w:pPr>
              <w:jc w:val="both"/>
              <w:rPr>
                <w:rFonts w:eastAsia="Times New Roman" w:cs="Arial"/>
                <w:color w:val="7030A0"/>
                <w:sz w:val="24"/>
                <w:szCs w:val="24"/>
                <w:highlight w:val="yellow"/>
              </w:rPr>
            </w:pPr>
          </w:p>
          <w:p w14:paraId="203AF366" w14:textId="3C497929" w:rsidR="005F6BB9" w:rsidRPr="00AC51D2" w:rsidRDefault="005F6BB9" w:rsidP="005F6BB9">
            <w:pPr>
              <w:jc w:val="both"/>
              <w:rPr>
                <w:rFonts w:eastAsia="Times New Roman" w:cs="Arial"/>
                <w:sz w:val="24"/>
                <w:szCs w:val="24"/>
              </w:rPr>
            </w:pPr>
            <w:r w:rsidRPr="00AC51D2">
              <w:rPr>
                <w:rFonts w:eastAsia="Times New Roman" w:cs="Arial"/>
                <w:sz w:val="24"/>
                <w:szCs w:val="24"/>
              </w:rPr>
              <w:t xml:space="preserve">A net revenue </w:t>
            </w:r>
            <w:r w:rsidR="00EE2D23" w:rsidRPr="00AC51D2">
              <w:rPr>
                <w:rFonts w:eastAsia="Times New Roman" w:cs="Arial"/>
                <w:sz w:val="24"/>
                <w:szCs w:val="24"/>
              </w:rPr>
              <w:t>unders</w:t>
            </w:r>
            <w:r w:rsidR="00D712D0" w:rsidRPr="00AC51D2">
              <w:rPr>
                <w:rFonts w:eastAsia="Times New Roman" w:cs="Arial"/>
                <w:sz w:val="24"/>
                <w:szCs w:val="24"/>
              </w:rPr>
              <w:t xml:space="preserve">pend </w:t>
            </w:r>
            <w:r w:rsidRPr="00AC51D2">
              <w:rPr>
                <w:rFonts w:eastAsia="Times New Roman" w:cs="Arial"/>
                <w:sz w:val="24"/>
                <w:szCs w:val="24"/>
              </w:rPr>
              <w:t xml:space="preserve">to the sum of </w:t>
            </w:r>
            <w:r w:rsidR="008A1B43" w:rsidRPr="00E53291">
              <w:rPr>
                <w:rFonts w:eastAsia="Times New Roman" w:cs="Arial"/>
                <w:sz w:val="24"/>
                <w:szCs w:val="24"/>
              </w:rPr>
              <w:t>£</w:t>
            </w:r>
            <w:r w:rsidR="00AC51D2" w:rsidRPr="00E53291">
              <w:rPr>
                <w:rFonts w:eastAsia="Times New Roman" w:cs="Arial"/>
                <w:sz w:val="24"/>
                <w:szCs w:val="24"/>
              </w:rPr>
              <w:t>4</w:t>
            </w:r>
            <w:r w:rsidR="007C7CF3">
              <w:rPr>
                <w:rFonts w:eastAsia="Times New Roman" w:cs="Arial"/>
                <w:sz w:val="24"/>
                <w:szCs w:val="24"/>
              </w:rPr>
              <w:t>2</w:t>
            </w:r>
            <w:r w:rsidR="00141FDD" w:rsidRPr="00E53291">
              <w:rPr>
                <w:rFonts w:eastAsia="Times New Roman" w:cs="Arial"/>
                <w:sz w:val="24"/>
                <w:szCs w:val="24"/>
              </w:rPr>
              <w:t>,000</w:t>
            </w:r>
            <w:r w:rsidRPr="00AC51D2">
              <w:rPr>
                <w:rFonts w:eastAsia="Times New Roman" w:cs="Arial"/>
                <w:sz w:val="24"/>
                <w:szCs w:val="24"/>
              </w:rPr>
              <w:t xml:space="preserve"> has been </w:t>
            </w:r>
            <w:r w:rsidR="0011172C" w:rsidRPr="00AC51D2">
              <w:rPr>
                <w:rFonts w:eastAsia="Times New Roman" w:cs="Arial"/>
                <w:sz w:val="24"/>
                <w:szCs w:val="24"/>
              </w:rPr>
              <w:t>identified</w:t>
            </w:r>
            <w:r w:rsidR="00230CDC" w:rsidRPr="00AC51D2">
              <w:rPr>
                <w:rFonts w:eastAsia="Times New Roman" w:cs="Arial"/>
                <w:sz w:val="24"/>
                <w:szCs w:val="24"/>
              </w:rPr>
              <w:t>,</w:t>
            </w:r>
            <w:r w:rsidRPr="00AC51D2">
              <w:rPr>
                <w:rFonts w:eastAsia="Times New Roman" w:cs="Arial"/>
                <w:sz w:val="24"/>
                <w:szCs w:val="24"/>
              </w:rPr>
              <w:t xml:space="preserve"> as summarised in Appendix 1. This </w:t>
            </w:r>
            <w:r w:rsidR="00230CDC" w:rsidRPr="00AC51D2">
              <w:rPr>
                <w:rFonts w:eastAsia="Times New Roman" w:cs="Arial"/>
                <w:sz w:val="24"/>
                <w:szCs w:val="24"/>
              </w:rPr>
              <w:t>is due to</w:t>
            </w:r>
            <w:r w:rsidR="00C774FB" w:rsidRPr="00AC51D2">
              <w:rPr>
                <w:rFonts w:eastAsia="Times New Roman" w:cs="Arial"/>
                <w:sz w:val="24"/>
                <w:szCs w:val="24"/>
              </w:rPr>
              <w:t xml:space="preserve"> the following</w:t>
            </w:r>
            <w:r w:rsidR="0011172C" w:rsidRPr="00AC51D2">
              <w:rPr>
                <w:rFonts w:eastAsia="Times New Roman" w:cs="Arial"/>
                <w:sz w:val="24"/>
                <w:szCs w:val="24"/>
              </w:rPr>
              <w:t xml:space="preserve"> </w:t>
            </w:r>
            <w:r w:rsidR="00A8403D" w:rsidRPr="00AC51D2">
              <w:rPr>
                <w:rFonts w:eastAsia="Times New Roman" w:cs="Arial"/>
                <w:sz w:val="24"/>
                <w:szCs w:val="24"/>
              </w:rPr>
              <w:t>underspends</w:t>
            </w:r>
            <w:r w:rsidR="00230CDC" w:rsidRPr="00AC51D2">
              <w:rPr>
                <w:rFonts w:eastAsia="Times New Roman" w:cs="Arial"/>
                <w:sz w:val="24"/>
                <w:szCs w:val="24"/>
              </w:rPr>
              <w:t>:</w:t>
            </w:r>
          </w:p>
          <w:p w14:paraId="38D8A36C" w14:textId="7FF9CD6C" w:rsidR="00A8403D" w:rsidRPr="007C7CF3" w:rsidRDefault="00A8403D" w:rsidP="00A8403D">
            <w:pPr>
              <w:pStyle w:val="ListParagraph"/>
              <w:numPr>
                <w:ilvl w:val="0"/>
                <w:numId w:val="17"/>
              </w:numPr>
              <w:jc w:val="both"/>
              <w:rPr>
                <w:rFonts w:eastAsia="Times New Roman" w:cs="Arial"/>
                <w:sz w:val="24"/>
                <w:szCs w:val="24"/>
              </w:rPr>
            </w:pPr>
            <w:r w:rsidRPr="007C7CF3">
              <w:rPr>
                <w:rFonts w:eastAsia="Times New Roman" w:cs="Arial"/>
                <w:sz w:val="24"/>
                <w:szCs w:val="24"/>
              </w:rPr>
              <w:t>Treasury Management (£</w:t>
            </w:r>
            <w:r w:rsidR="007C7CF3" w:rsidRPr="007C7CF3">
              <w:rPr>
                <w:rFonts w:eastAsia="Times New Roman" w:cs="Arial"/>
                <w:sz w:val="24"/>
                <w:szCs w:val="24"/>
              </w:rPr>
              <w:t>723</w:t>
            </w:r>
            <w:r w:rsidRPr="007C7CF3">
              <w:rPr>
                <w:rFonts w:eastAsia="Times New Roman" w:cs="Arial"/>
                <w:sz w:val="24"/>
                <w:szCs w:val="24"/>
              </w:rPr>
              <w:t>,000)</w:t>
            </w:r>
          </w:p>
          <w:p w14:paraId="6A022CE4" w14:textId="1EA45960" w:rsidR="00A8403D" w:rsidRPr="007C7CF3" w:rsidRDefault="00A8403D" w:rsidP="00A8403D">
            <w:pPr>
              <w:pStyle w:val="ListParagraph"/>
              <w:numPr>
                <w:ilvl w:val="0"/>
                <w:numId w:val="17"/>
              </w:numPr>
              <w:jc w:val="both"/>
              <w:rPr>
                <w:rFonts w:eastAsia="Times New Roman" w:cs="Arial"/>
                <w:sz w:val="24"/>
                <w:szCs w:val="24"/>
              </w:rPr>
            </w:pPr>
            <w:r w:rsidRPr="007C7CF3">
              <w:rPr>
                <w:rFonts w:eastAsia="Times New Roman" w:cs="Arial"/>
                <w:sz w:val="24"/>
                <w:szCs w:val="24"/>
              </w:rPr>
              <w:t>Corporate contingency (£</w:t>
            </w:r>
            <w:r w:rsidR="007C7CF3" w:rsidRPr="007C7CF3">
              <w:rPr>
                <w:rFonts w:eastAsia="Times New Roman" w:cs="Arial"/>
                <w:sz w:val="24"/>
                <w:szCs w:val="24"/>
              </w:rPr>
              <w:t>222</w:t>
            </w:r>
            <w:r w:rsidRPr="007C7CF3">
              <w:rPr>
                <w:rFonts w:eastAsia="Times New Roman" w:cs="Arial"/>
                <w:sz w:val="24"/>
                <w:szCs w:val="24"/>
              </w:rPr>
              <w:t>,000)</w:t>
            </w:r>
          </w:p>
          <w:p w14:paraId="21A9FEC9" w14:textId="77777777" w:rsidR="00A8403D" w:rsidRPr="007C7CF3" w:rsidRDefault="00A8403D" w:rsidP="00A8403D">
            <w:pPr>
              <w:pStyle w:val="ListParagraph"/>
              <w:numPr>
                <w:ilvl w:val="0"/>
                <w:numId w:val="17"/>
              </w:numPr>
              <w:jc w:val="both"/>
              <w:rPr>
                <w:rFonts w:eastAsia="Times New Roman" w:cs="Arial"/>
                <w:sz w:val="24"/>
                <w:szCs w:val="24"/>
              </w:rPr>
            </w:pPr>
            <w:r w:rsidRPr="007C7CF3">
              <w:rPr>
                <w:rFonts w:eastAsia="Times New Roman" w:cs="Arial"/>
                <w:sz w:val="24"/>
                <w:szCs w:val="24"/>
              </w:rPr>
              <w:t>Additional funding (£159,000)</w:t>
            </w:r>
          </w:p>
          <w:p w14:paraId="11A02024" w14:textId="21523128" w:rsidR="00A8403D" w:rsidRDefault="00A8403D" w:rsidP="00A8403D">
            <w:pPr>
              <w:pStyle w:val="ListParagraph"/>
              <w:numPr>
                <w:ilvl w:val="0"/>
                <w:numId w:val="17"/>
              </w:numPr>
              <w:jc w:val="both"/>
              <w:rPr>
                <w:rFonts w:eastAsia="Times New Roman" w:cs="Arial"/>
                <w:sz w:val="24"/>
                <w:szCs w:val="24"/>
              </w:rPr>
            </w:pPr>
            <w:r w:rsidRPr="007C7CF3">
              <w:rPr>
                <w:rFonts w:eastAsia="Times New Roman" w:cs="Arial"/>
                <w:sz w:val="24"/>
                <w:szCs w:val="24"/>
              </w:rPr>
              <w:t>Protection vacancies (£1</w:t>
            </w:r>
            <w:r w:rsidR="007C7CF3" w:rsidRPr="007C7CF3">
              <w:rPr>
                <w:rFonts w:eastAsia="Times New Roman" w:cs="Arial"/>
                <w:sz w:val="24"/>
                <w:szCs w:val="24"/>
              </w:rPr>
              <w:t>28</w:t>
            </w:r>
            <w:r w:rsidRPr="007C7CF3">
              <w:rPr>
                <w:rFonts w:eastAsia="Times New Roman" w:cs="Arial"/>
                <w:sz w:val="24"/>
                <w:szCs w:val="24"/>
              </w:rPr>
              <w:t>,000)</w:t>
            </w:r>
          </w:p>
          <w:p w14:paraId="358EB75A" w14:textId="5CECB8B5" w:rsidR="00456221" w:rsidRDefault="00456221" w:rsidP="00A8403D">
            <w:pPr>
              <w:pStyle w:val="ListParagraph"/>
              <w:numPr>
                <w:ilvl w:val="0"/>
                <w:numId w:val="17"/>
              </w:numPr>
              <w:jc w:val="both"/>
              <w:rPr>
                <w:rFonts w:eastAsia="Times New Roman" w:cs="Arial"/>
                <w:sz w:val="24"/>
                <w:szCs w:val="24"/>
              </w:rPr>
            </w:pPr>
            <w:r>
              <w:rPr>
                <w:rFonts w:eastAsia="Times New Roman" w:cs="Arial"/>
                <w:sz w:val="24"/>
                <w:szCs w:val="24"/>
              </w:rPr>
              <w:t>CPD for wholetime and on-call (£107,000)</w:t>
            </w:r>
          </w:p>
          <w:p w14:paraId="4A3FC209" w14:textId="6A0A9459" w:rsidR="000549A9" w:rsidRDefault="000549A9" w:rsidP="00A8403D">
            <w:pPr>
              <w:pStyle w:val="ListParagraph"/>
              <w:numPr>
                <w:ilvl w:val="0"/>
                <w:numId w:val="17"/>
              </w:numPr>
              <w:jc w:val="both"/>
              <w:rPr>
                <w:rFonts w:eastAsia="Times New Roman" w:cs="Arial"/>
                <w:sz w:val="24"/>
                <w:szCs w:val="24"/>
              </w:rPr>
            </w:pPr>
            <w:r>
              <w:rPr>
                <w:rFonts w:eastAsia="Times New Roman" w:cs="Arial"/>
                <w:sz w:val="24"/>
                <w:szCs w:val="24"/>
              </w:rPr>
              <w:t>IT Project delays (£98,000)</w:t>
            </w:r>
          </w:p>
          <w:p w14:paraId="5ECD6FCC" w14:textId="2AAC2590" w:rsidR="00F62993" w:rsidRPr="00F62993" w:rsidRDefault="00F62993" w:rsidP="00A8403D">
            <w:pPr>
              <w:pStyle w:val="ListParagraph"/>
              <w:numPr>
                <w:ilvl w:val="0"/>
                <w:numId w:val="17"/>
              </w:numPr>
              <w:jc w:val="both"/>
              <w:rPr>
                <w:rFonts w:eastAsia="Times New Roman" w:cs="Arial"/>
                <w:sz w:val="24"/>
                <w:szCs w:val="24"/>
              </w:rPr>
            </w:pPr>
            <w:r w:rsidRPr="00F62993">
              <w:rPr>
                <w:rFonts w:eastAsia="Times New Roman" w:cs="Arial"/>
                <w:sz w:val="24"/>
                <w:szCs w:val="24"/>
              </w:rPr>
              <w:t>Communications vacancies (£54,000)</w:t>
            </w:r>
          </w:p>
          <w:p w14:paraId="46FDC49E" w14:textId="1ADBC1CA" w:rsidR="00A8403D" w:rsidRPr="00F62993" w:rsidRDefault="00A8403D" w:rsidP="00A8403D">
            <w:pPr>
              <w:pStyle w:val="ListParagraph"/>
              <w:numPr>
                <w:ilvl w:val="0"/>
                <w:numId w:val="17"/>
              </w:numPr>
              <w:jc w:val="both"/>
              <w:rPr>
                <w:rFonts w:eastAsia="Times New Roman" w:cs="Arial"/>
                <w:sz w:val="24"/>
                <w:szCs w:val="24"/>
              </w:rPr>
            </w:pPr>
            <w:r w:rsidRPr="00F62993">
              <w:rPr>
                <w:rFonts w:eastAsia="Times New Roman" w:cs="Arial"/>
                <w:sz w:val="24"/>
                <w:szCs w:val="24"/>
              </w:rPr>
              <w:t>CRM &amp; Airbus licences (£</w:t>
            </w:r>
            <w:r w:rsidR="000549A9" w:rsidRPr="00F62993">
              <w:rPr>
                <w:rFonts w:eastAsia="Times New Roman" w:cs="Arial"/>
                <w:sz w:val="24"/>
                <w:szCs w:val="24"/>
              </w:rPr>
              <w:t>51</w:t>
            </w:r>
            <w:r w:rsidRPr="00F62993">
              <w:rPr>
                <w:rFonts w:eastAsia="Times New Roman" w:cs="Arial"/>
                <w:sz w:val="24"/>
                <w:szCs w:val="24"/>
              </w:rPr>
              <w:t>,000)</w:t>
            </w:r>
          </w:p>
          <w:p w14:paraId="6223C764" w14:textId="77777777" w:rsidR="00A8403D" w:rsidRPr="00301D4F" w:rsidRDefault="00A8403D" w:rsidP="005F6BB9">
            <w:pPr>
              <w:jc w:val="both"/>
              <w:rPr>
                <w:rFonts w:eastAsia="Times New Roman" w:cs="Arial"/>
                <w:sz w:val="24"/>
                <w:szCs w:val="24"/>
                <w:highlight w:val="yellow"/>
              </w:rPr>
            </w:pPr>
          </w:p>
          <w:p w14:paraId="09ED1E28" w14:textId="13E06743" w:rsidR="00A8403D" w:rsidRPr="007C7CF3" w:rsidRDefault="00A8403D" w:rsidP="005F6BB9">
            <w:pPr>
              <w:jc w:val="both"/>
              <w:rPr>
                <w:rFonts w:eastAsia="Times New Roman" w:cs="Arial"/>
                <w:sz w:val="24"/>
                <w:szCs w:val="24"/>
              </w:rPr>
            </w:pPr>
            <w:r w:rsidRPr="007C7CF3">
              <w:rPr>
                <w:rFonts w:eastAsia="Times New Roman" w:cs="Arial"/>
                <w:sz w:val="24"/>
                <w:szCs w:val="24"/>
              </w:rPr>
              <w:t>These are offset by the following pressures:</w:t>
            </w:r>
          </w:p>
          <w:p w14:paraId="276E827B" w14:textId="773B2406" w:rsidR="00FB10EE" w:rsidRPr="00456221" w:rsidRDefault="00FB10EE" w:rsidP="00074C7A">
            <w:pPr>
              <w:pStyle w:val="ListParagraph"/>
              <w:numPr>
                <w:ilvl w:val="0"/>
                <w:numId w:val="17"/>
              </w:numPr>
              <w:jc w:val="both"/>
              <w:rPr>
                <w:rFonts w:eastAsia="Times New Roman" w:cs="Arial"/>
                <w:sz w:val="24"/>
                <w:szCs w:val="24"/>
              </w:rPr>
            </w:pPr>
            <w:r w:rsidRPr="00456221">
              <w:rPr>
                <w:rFonts w:eastAsia="Times New Roman" w:cs="Arial"/>
                <w:sz w:val="24"/>
                <w:szCs w:val="24"/>
              </w:rPr>
              <w:t>Wholetime overtime within Groups (£</w:t>
            </w:r>
            <w:r w:rsidR="00F77DF2" w:rsidRPr="00456221">
              <w:rPr>
                <w:rFonts w:eastAsia="Times New Roman" w:cs="Arial"/>
                <w:sz w:val="24"/>
                <w:szCs w:val="24"/>
              </w:rPr>
              <w:t>5</w:t>
            </w:r>
            <w:r w:rsidR="00456221" w:rsidRPr="00456221">
              <w:rPr>
                <w:rFonts w:eastAsia="Times New Roman" w:cs="Arial"/>
                <w:sz w:val="24"/>
                <w:szCs w:val="24"/>
              </w:rPr>
              <w:t>16</w:t>
            </w:r>
            <w:r w:rsidRPr="00456221">
              <w:rPr>
                <w:rFonts w:eastAsia="Times New Roman" w:cs="Arial"/>
                <w:sz w:val="24"/>
                <w:szCs w:val="24"/>
              </w:rPr>
              <w:t>,000)</w:t>
            </w:r>
          </w:p>
          <w:p w14:paraId="2D88A56C" w14:textId="20134D03" w:rsidR="00E1088E" w:rsidRPr="00456221" w:rsidRDefault="00E1088E" w:rsidP="00074C7A">
            <w:pPr>
              <w:pStyle w:val="ListParagraph"/>
              <w:numPr>
                <w:ilvl w:val="0"/>
                <w:numId w:val="17"/>
              </w:numPr>
              <w:jc w:val="both"/>
              <w:rPr>
                <w:rFonts w:eastAsia="Times New Roman" w:cs="Arial"/>
                <w:sz w:val="24"/>
                <w:szCs w:val="24"/>
              </w:rPr>
            </w:pPr>
            <w:r w:rsidRPr="00456221">
              <w:rPr>
                <w:rFonts w:eastAsia="Times New Roman" w:cs="Arial"/>
                <w:sz w:val="24"/>
                <w:szCs w:val="24"/>
              </w:rPr>
              <w:t xml:space="preserve">Wholetime pay </w:t>
            </w:r>
            <w:r w:rsidR="007F702F" w:rsidRPr="00456221">
              <w:rPr>
                <w:rFonts w:eastAsia="Times New Roman" w:cs="Arial"/>
                <w:sz w:val="24"/>
                <w:szCs w:val="24"/>
              </w:rPr>
              <w:t>within Groups (£</w:t>
            </w:r>
            <w:r w:rsidR="00F77DF2" w:rsidRPr="00456221">
              <w:rPr>
                <w:rFonts w:eastAsia="Times New Roman" w:cs="Arial"/>
                <w:sz w:val="24"/>
                <w:szCs w:val="24"/>
              </w:rPr>
              <w:t>42</w:t>
            </w:r>
            <w:r w:rsidR="00456221" w:rsidRPr="00456221">
              <w:rPr>
                <w:rFonts w:eastAsia="Times New Roman" w:cs="Arial"/>
                <w:sz w:val="24"/>
                <w:szCs w:val="24"/>
              </w:rPr>
              <w:t>8</w:t>
            </w:r>
            <w:r w:rsidR="007F702F" w:rsidRPr="00456221">
              <w:rPr>
                <w:rFonts w:eastAsia="Times New Roman" w:cs="Arial"/>
                <w:sz w:val="24"/>
                <w:szCs w:val="24"/>
              </w:rPr>
              <w:t>,000)</w:t>
            </w:r>
          </w:p>
          <w:p w14:paraId="1197219E" w14:textId="46A7572A" w:rsidR="00F77DF2" w:rsidRPr="00456221" w:rsidRDefault="00F77DF2" w:rsidP="00074C7A">
            <w:pPr>
              <w:pStyle w:val="ListParagraph"/>
              <w:numPr>
                <w:ilvl w:val="0"/>
                <w:numId w:val="17"/>
              </w:numPr>
              <w:jc w:val="both"/>
              <w:rPr>
                <w:rFonts w:eastAsia="Times New Roman" w:cs="Arial"/>
                <w:sz w:val="24"/>
                <w:szCs w:val="24"/>
              </w:rPr>
            </w:pPr>
            <w:r w:rsidRPr="00456221">
              <w:rPr>
                <w:rFonts w:eastAsia="Times New Roman" w:cs="Arial"/>
                <w:sz w:val="24"/>
                <w:szCs w:val="24"/>
              </w:rPr>
              <w:t>On-call within Groups (£15</w:t>
            </w:r>
            <w:r w:rsidR="00456221" w:rsidRPr="00456221">
              <w:rPr>
                <w:rFonts w:eastAsia="Times New Roman" w:cs="Arial"/>
                <w:sz w:val="24"/>
                <w:szCs w:val="24"/>
              </w:rPr>
              <w:t>7</w:t>
            </w:r>
            <w:r w:rsidRPr="00456221">
              <w:rPr>
                <w:rFonts w:eastAsia="Times New Roman" w:cs="Arial"/>
                <w:sz w:val="24"/>
                <w:szCs w:val="24"/>
              </w:rPr>
              <w:t>,000)</w:t>
            </w:r>
          </w:p>
          <w:p w14:paraId="2C6F47BD" w14:textId="5E0AFCB9" w:rsidR="005215BB" w:rsidRPr="0057393A" w:rsidRDefault="005215BB" w:rsidP="001F7E17">
            <w:pPr>
              <w:pStyle w:val="ListParagraph"/>
              <w:numPr>
                <w:ilvl w:val="0"/>
                <w:numId w:val="17"/>
              </w:numPr>
              <w:jc w:val="both"/>
              <w:rPr>
                <w:rFonts w:eastAsia="Times New Roman" w:cs="Arial"/>
                <w:sz w:val="24"/>
                <w:szCs w:val="24"/>
              </w:rPr>
            </w:pPr>
            <w:r w:rsidRPr="0057393A">
              <w:rPr>
                <w:rFonts w:eastAsia="Times New Roman" w:cs="Arial"/>
                <w:sz w:val="24"/>
                <w:szCs w:val="24"/>
              </w:rPr>
              <w:t xml:space="preserve">CRM </w:t>
            </w:r>
            <w:r w:rsidR="00A576ED" w:rsidRPr="0057393A">
              <w:rPr>
                <w:rFonts w:eastAsia="Times New Roman" w:cs="Arial"/>
                <w:sz w:val="24"/>
                <w:szCs w:val="24"/>
              </w:rPr>
              <w:t xml:space="preserve">unachieved </w:t>
            </w:r>
            <w:r w:rsidRPr="0057393A">
              <w:rPr>
                <w:rFonts w:eastAsia="Times New Roman" w:cs="Arial"/>
                <w:sz w:val="24"/>
                <w:szCs w:val="24"/>
              </w:rPr>
              <w:t>savings (£104,000)</w:t>
            </w:r>
          </w:p>
          <w:p w14:paraId="619C0575" w14:textId="71230418" w:rsidR="005215BB" w:rsidRPr="00AD4223" w:rsidRDefault="005215BB" w:rsidP="00074C7A">
            <w:pPr>
              <w:pStyle w:val="ListParagraph"/>
              <w:numPr>
                <w:ilvl w:val="0"/>
                <w:numId w:val="17"/>
              </w:numPr>
              <w:jc w:val="both"/>
              <w:rPr>
                <w:rFonts w:eastAsia="Times New Roman" w:cs="Arial"/>
                <w:sz w:val="24"/>
                <w:szCs w:val="24"/>
              </w:rPr>
            </w:pPr>
            <w:r w:rsidRPr="00AD4223">
              <w:rPr>
                <w:rFonts w:eastAsia="Times New Roman" w:cs="Arial"/>
                <w:sz w:val="24"/>
                <w:szCs w:val="24"/>
              </w:rPr>
              <w:t>Payroll posts due to budget error (£98,000)</w:t>
            </w:r>
          </w:p>
          <w:p w14:paraId="60DEE00A" w14:textId="52533B9D" w:rsidR="005215BB" w:rsidRPr="00AD4223" w:rsidRDefault="005215BB" w:rsidP="00074C7A">
            <w:pPr>
              <w:pStyle w:val="ListParagraph"/>
              <w:numPr>
                <w:ilvl w:val="0"/>
                <w:numId w:val="17"/>
              </w:numPr>
              <w:jc w:val="both"/>
              <w:rPr>
                <w:rFonts w:eastAsia="Times New Roman" w:cs="Arial"/>
                <w:sz w:val="24"/>
                <w:szCs w:val="24"/>
              </w:rPr>
            </w:pPr>
            <w:proofErr w:type="spellStart"/>
            <w:r w:rsidRPr="00AD4223">
              <w:rPr>
                <w:rFonts w:eastAsia="Times New Roman" w:cs="Arial"/>
                <w:sz w:val="24"/>
                <w:szCs w:val="24"/>
              </w:rPr>
              <w:t>Firelink</w:t>
            </w:r>
            <w:proofErr w:type="spellEnd"/>
            <w:r w:rsidR="003A057A" w:rsidRPr="00AD4223">
              <w:rPr>
                <w:rFonts w:eastAsia="Times New Roman" w:cs="Arial"/>
                <w:sz w:val="24"/>
                <w:szCs w:val="24"/>
              </w:rPr>
              <w:t xml:space="preserve"> contract uplift</w:t>
            </w:r>
            <w:r w:rsidRPr="00AD4223">
              <w:rPr>
                <w:rFonts w:eastAsia="Times New Roman" w:cs="Arial"/>
                <w:sz w:val="24"/>
                <w:szCs w:val="24"/>
              </w:rPr>
              <w:t xml:space="preserve"> (£</w:t>
            </w:r>
            <w:r w:rsidR="007040CE" w:rsidRPr="00AD4223">
              <w:rPr>
                <w:rFonts w:eastAsia="Times New Roman" w:cs="Arial"/>
                <w:sz w:val="24"/>
                <w:szCs w:val="24"/>
              </w:rPr>
              <w:t>79</w:t>
            </w:r>
            <w:r w:rsidRPr="00AD4223">
              <w:rPr>
                <w:rFonts w:eastAsia="Times New Roman" w:cs="Arial"/>
                <w:sz w:val="24"/>
                <w:szCs w:val="24"/>
              </w:rPr>
              <w:t>,000)</w:t>
            </w:r>
          </w:p>
          <w:p w14:paraId="515443DA" w14:textId="5CE3BFD4" w:rsidR="00100018" w:rsidRPr="00AD4223" w:rsidRDefault="00100018" w:rsidP="00074C7A">
            <w:pPr>
              <w:pStyle w:val="ListParagraph"/>
              <w:numPr>
                <w:ilvl w:val="0"/>
                <w:numId w:val="17"/>
              </w:numPr>
              <w:jc w:val="both"/>
              <w:rPr>
                <w:rFonts w:eastAsia="Times New Roman" w:cs="Arial"/>
                <w:sz w:val="24"/>
                <w:szCs w:val="24"/>
              </w:rPr>
            </w:pPr>
            <w:r w:rsidRPr="00AD4223">
              <w:rPr>
                <w:rFonts w:eastAsia="Times New Roman" w:cs="Arial"/>
                <w:sz w:val="24"/>
                <w:szCs w:val="24"/>
              </w:rPr>
              <w:t>Unfunded pensions (£7</w:t>
            </w:r>
            <w:r w:rsidR="0098748B" w:rsidRPr="00AD4223">
              <w:rPr>
                <w:rFonts w:eastAsia="Times New Roman" w:cs="Arial"/>
                <w:sz w:val="24"/>
                <w:szCs w:val="24"/>
              </w:rPr>
              <w:t>3</w:t>
            </w:r>
            <w:r w:rsidRPr="00AD4223">
              <w:rPr>
                <w:rFonts w:eastAsia="Times New Roman" w:cs="Arial"/>
                <w:sz w:val="24"/>
                <w:szCs w:val="24"/>
              </w:rPr>
              <w:t>,000)</w:t>
            </w:r>
          </w:p>
          <w:p w14:paraId="5540C79F" w14:textId="3B27BD4D" w:rsidR="003E1989" w:rsidRPr="00AD4223" w:rsidRDefault="00100018" w:rsidP="0046127C">
            <w:pPr>
              <w:pStyle w:val="ListParagraph"/>
              <w:numPr>
                <w:ilvl w:val="0"/>
                <w:numId w:val="17"/>
              </w:numPr>
              <w:jc w:val="both"/>
              <w:rPr>
                <w:rFonts w:eastAsia="Times New Roman" w:cs="Arial"/>
                <w:sz w:val="24"/>
                <w:szCs w:val="24"/>
              </w:rPr>
            </w:pPr>
            <w:r w:rsidRPr="00AD4223">
              <w:rPr>
                <w:rFonts w:eastAsia="Times New Roman" w:cs="Arial"/>
                <w:sz w:val="24"/>
                <w:szCs w:val="24"/>
              </w:rPr>
              <w:t xml:space="preserve">Procurement </w:t>
            </w:r>
            <w:r w:rsidR="0098748B" w:rsidRPr="00AD4223">
              <w:rPr>
                <w:rFonts w:eastAsia="Times New Roman" w:cs="Arial"/>
                <w:sz w:val="24"/>
                <w:szCs w:val="24"/>
              </w:rPr>
              <w:t xml:space="preserve">unachieved </w:t>
            </w:r>
            <w:r w:rsidRPr="00AD4223">
              <w:rPr>
                <w:rFonts w:eastAsia="Times New Roman" w:cs="Arial"/>
                <w:sz w:val="24"/>
                <w:szCs w:val="24"/>
              </w:rPr>
              <w:t>savings (£66,000)</w:t>
            </w:r>
          </w:p>
          <w:p w14:paraId="67278895" w14:textId="7F4D6347" w:rsidR="00AD4223" w:rsidRPr="00AD4223" w:rsidRDefault="00AD4223" w:rsidP="0046127C">
            <w:pPr>
              <w:pStyle w:val="ListParagraph"/>
              <w:numPr>
                <w:ilvl w:val="0"/>
                <w:numId w:val="17"/>
              </w:numPr>
              <w:jc w:val="both"/>
              <w:rPr>
                <w:rFonts w:eastAsia="Times New Roman" w:cs="Arial"/>
                <w:sz w:val="24"/>
                <w:szCs w:val="24"/>
              </w:rPr>
            </w:pPr>
            <w:r w:rsidRPr="00AD4223">
              <w:rPr>
                <w:rFonts w:eastAsia="Times New Roman" w:cs="Arial"/>
                <w:sz w:val="24"/>
                <w:szCs w:val="24"/>
              </w:rPr>
              <w:t>Primary datacentre relocation (£50,000)</w:t>
            </w:r>
          </w:p>
          <w:p w14:paraId="5DF1E770" w14:textId="285F2B46" w:rsidR="005215BB" w:rsidRPr="00301D4F" w:rsidRDefault="005215BB" w:rsidP="005215BB">
            <w:pPr>
              <w:pStyle w:val="ListParagraph"/>
              <w:jc w:val="both"/>
              <w:rPr>
                <w:rFonts w:eastAsia="Times New Roman" w:cs="Arial"/>
                <w:sz w:val="24"/>
                <w:szCs w:val="24"/>
                <w:highlight w:val="yellow"/>
              </w:rPr>
            </w:pPr>
          </w:p>
          <w:p w14:paraId="5E8429AC" w14:textId="4C4014CA" w:rsidR="00123977" w:rsidRPr="00456221" w:rsidRDefault="00123977" w:rsidP="005F6BB9">
            <w:pPr>
              <w:jc w:val="both"/>
              <w:rPr>
                <w:rFonts w:eastAsia="Times New Roman" w:cs="Arial"/>
                <w:sz w:val="24"/>
                <w:szCs w:val="24"/>
              </w:rPr>
            </w:pPr>
            <w:r w:rsidRPr="00456221">
              <w:rPr>
                <w:rFonts w:eastAsia="Times New Roman" w:cs="Arial"/>
                <w:sz w:val="24"/>
                <w:szCs w:val="24"/>
              </w:rPr>
              <w:t xml:space="preserve">There are a number of other small variances which contribute to the </w:t>
            </w:r>
            <w:r w:rsidR="00456221" w:rsidRPr="00456221">
              <w:rPr>
                <w:rFonts w:eastAsia="Times New Roman" w:cs="Arial"/>
                <w:sz w:val="24"/>
                <w:szCs w:val="24"/>
              </w:rPr>
              <w:t>underspend</w:t>
            </w:r>
            <w:r w:rsidRPr="00456221">
              <w:rPr>
                <w:rFonts w:eastAsia="Times New Roman" w:cs="Arial"/>
                <w:sz w:val="24"/>
                <w:szCs w:val="24"/>
              </w:rPr>
              <w:t>.</w:t>
            </w:r>
          </w:p>
          <w:p w14:paraId="196DF931" w14:textId="77777777" w:rsidR="00714909" w:rsidRPr="00301D4F" w:rsidRDefault="00714909" w:rsidP="005F6BB9">
            <w:pPr>
              <w:jc w:val="both"/>
              <w:rPr>
                <w:rFonts w:eastAsia="Times New Roman" w:cs="Arial"/>
                <w:sz w:val="24"/>
                <w:szCs w:val="24"/>
                <w:highlight w:val="yellow"/>
              </w:rPr>
            </w:pPr>
          </w:p>
          <w:p w14:paraId="2D89C675" w14:textId="04B2E23E" w:rsidR="00714909" w:rsidRPr="00456221" w:rsidRDefault="00714909" w:rsidP="005F6BB9">
            <w:pPr>
              <w:jc w:val="both"/>
              <w:rPr>
                <w:rFonts w:eastAsia="Times New Roman" w:cs="Arial"/>
                <w:sz w:val="24"/>
                <w:szCs w:val="24"/>
              </w:rPr>
            </w:pPr>
            <w:r w:rsidRPr="00456221">
              <w:rPr>
                <w:rFonts w:eastAsia="Times New Roman" w:cs="Arial"/>
                <w:sz w:val="24"/>
                <w:szCs w:val="24"/>
              </w:rPr>
              <w:t>Safer Communities are forecasting an overspend of £</w:t>
            </w:r>
            <w:r w:rsidR="00456221" w:rsidRPr="00456221">
              <w:rPr>
                <w:rFonts w:eastAsia="Times New Roman" w:cs="Arial"/>
                <w:sz w:val="24"/>
                <w:szCs w:val="24"/>
              </w:rPr>
              <w:t>842,000</w:t>
            </w:r>
            <w:r w:rsidR="0007777E">
              <w:rPr>
                <w:rFonts w:eastAsia="Times New Roman" w:cs="Arial"/>
                <w:sz w:val="24"/>
                <w:szCs w:val="24"/>
              </w:rPr>
              <w:t>, with the forecast overspend in Groups totalling £970,000</w:t>
            </w:r>
            <w:r w:rsidRPr="00456221">
              <w:rPr>
                <w:rFonts w:eastAsia="Times New Roman" w:cs="Arial"/>
                <w:sz w:val="24"/>
                <w:szCs w:val="24"/>
              </w:rPr>
              <w:t xml:space="preserve">.  </w:t>
            </w:r>
            <w:r w:rsidR="0007777E">
              <w:rPr>
                <w:rFonts w:eastAsia="Times New Roman" w:cs="Arial"/>
                <w:sz w:val="24"/>
                <w:szCs w:val="24"/>
              </w:rPr>
              <w:t xml:space="preserve">The forecast within Groups has not changed since P6 and whilst it was hoped overtime would start to reduce </w:t>
            </w:r>
            <w:r w:rsidR="007D0483">
              <w:rPr>
                <w:rFonts w:eastAsia="Times New Roman" w:cs="Arial"/>
                <w:sz w:val="24"/>
                <w:szCs w:val="24"/>
              </w:rPr>
              <w:t xml:space="preserve">the actual spend incurred since P6 is in line with the previous forecast.  There is </w:t>
            </w:r>
            <w:r w:rsidR="00AD5A2A">
              <w:rPr>
                <w:rFonts w:eastAsia="Times New Roman" w:cs="Arial"/>
                <w:sz w:val="24"/>
                <w:szCs w:val="24"/>
              </w:rPr>
              <w:t xml:space="preserve">the </w:t>
            </w:r>
            <w:r w:rsidR="007D0483">
              <w:rPr>
                <w:rFonts w:eastAsia="Times New Roman" w:cs="Arial"/>
                <w:sz w:val="24"/>
                <w:szCs w:val="24"/>
              </w:rPr>
              <w:t xml:space="preserve">potential </w:t>
            </w:r>
            <w:r w:rsidR="00AD5A2A">
              <w:rPr>
                <w:rFonts w:eastAsia="Times New Roman" w:cs="Arial"/>
                <w:sz w:val="24"/>
                <w:szCs w:val="24"/>
              </w:rPr>
              <w:t xml:space="preserve">that </w:t>
            </w:r>
            <w:proofErr w:type="gramStart"/>
            <w:r w:rsidR="007D0483">
              <w:rPr>
                <w:rFonts w:eastAsia="Times New Roman" w:cs="Arial"/>
                <w:sz w:val="24"/>
                <w:szCs w:val="24"/>
              </w:rPr>
              <w:t>overtime will reduce now</w:t>
            </w:r>
            <w:proofErr w:type="gramEnd"/>
            <w:r w:rsidR="007D0483">
              <w:rPr>
                <w:rFonts w:eastAsia="Times New Roman" w:cs="Arial"/>
                <w:sz w:val="24"/>
                <w:szCs w:val="24"/>
              </w:rPr>
              <w:t xml:space="preserve"> the </w:t>
            </w:r>
            <w:r w:rsidR="00AD5A2A">
              <w:rPr>
                <w:rFonts w:eastAsia="Times New Roman" w:cs="Arial"/>
                <w:sz w:val="24"/>
                <w:szCs w:val="24"/>
              </w:rPr>
              <w:t>Flexible Resourcing Pool (</w:t>
            </w:r>
            <w:r w:rsidR="007D0483">
              <w:rPr>
                <w:rFonts w:eastAsia="Times New Roman" w:cs="Arial"/>
                <w:sz w:val="24"/>
                <w:szCs w:val="24"/>
              </w:rPr>
              <w:t>FRP</w:t>
            </w:r>
            <w:r w:rsidR="00AD5A2A">
              <w:rPr>
                <w:rFonts w:eastAsia="Times New Roman" w:cs="Arial"/>
                <w:sz w:val="24"/>
                <w:szCs w:val="24"/>
              </w:rPr>
              <w:t>)</w:t>
            </w:r>
            <w:r w:rsidR="007D0483">
              <w:rPr>
                <w:rFonts w:eastAsia="Times New Roman" w:cs="Arial"/>
                <w:sz w:val="24"/>
                <w:szCs w:val="24"/>
              </w:rPr>
              <w:t xml:space="preserve"> is fully established and additional on-call staff are providing FRP cover.  </w:t>
            </w:r>
            <w:r w:rsidRPr="00456221">
              <w:rPr>
                <w:rFonts w:eastAsia="Times New Roman" w:cs="Arial"/>
                <w:sz w:val="24"/>
                <w:szCs w:val="24"/>
              </w:rPr>
              <w:t xml:space="preserve">The Service must maintain a significant focus on delivering the </w:t>
            </w:r>
            <w:r w:rsidR="007D0483">
              <w:rPr>
                <w:rFonts w:eastAsia="Times New Roman" w:cs="Arial"/>
                <w:sz w:val="24"/>
                <w:szCs w:val="24"/>
              </w:rPr>
              <w:t xml:space="preserve">Safer Communities action </w:t>
            </w:r>
            <w:r w:rsidRPr="00456221">
              <w:rPr>
                <w:rFonts w:eastAsia="Times New Roman" w:cs="Arial"/>
                <w:sz w:val="24"/>
                <w:szCs w:val="24"/>
              </w:rPr>
              <w:t xml:space="preserve">plan to reduce </w:t>
            </w:r>
            <w:r w:rsidR="007D0483">
              <w:rPr>
                <w:rFonts w:eastAsia="Times New Roman" w:cs="Arial"/>
                <w:sz w:val="24"/>
                <w:szCs w:val="24"/>
              </w:rPr>
              <w:t>pressures within the department.  It is anticipated some pressures will continue into 2024/25 and further analysis will be undertaken to understand what this pressure is likely to be.</w:t>
            </w:r>
          </w:p>
          <w:p w14:paraId="25326695" w14:textId="77777777" w:rsidR="00123977" w:rsidRPr="00301D4F" w:rsidRDefault="00123977" w:rsidP="005F6BB9">
            <w:pPr>
              <w:jc w:val="both"/>
              <w:rPr>
                <w:rFonts w:eastAsia="Times New Roman" w:cs="Arial"/>
                <w:sz w:val="24"/>
                <w:szCs w:val="24"/>
                <w:highlight w:val="yellow"/>
              </w:rPr>
            </w:pPr>
          </w:p>
          <w:p w14:paraId="38850061" w14:textId="77777777" w:rsidR="003269BA" w:rsidRPr="00456221" w:rsidRDefault="003269BA" w:rsidP="005F6BB9">
            <w:pPr>
              <w:jc w:val="both"/>
              <w:rPr>
                <w:rFonts w:eastAsia="Times New Roman" w:cs="Arial"/>
                <w:sz w:val="24"/>
                <w:szCs w:val="24"/>
              </w:rPr>
            </w:pPr>
            <w:r w:rsidRPr="00456221">
              <w:rPr>
                <w:rFonts w:eastAsia="Times New Roman" w:cs="Arial"/>
                <w:sz w:val="24"/>
                <w:szCs w:val="24"/>
              </w:rPr>
              <w:t xml:space="preserve">Further work is required to review the forecast and management action is required in reviewing staffing and overtime forecasts.  </w:t>
            </w:r>
          </w:p>
          <w:p w14:paraId="16D1200D" w14:textId="77777777" w:rsidR="003269BA" w:rsidRPr="00301D4F" w:rsidRDefault="003269BA" w:rsidP="005F6BB9">
            <w:pPr>
              <w:jc w:val="both"/>
              <w:rPr>
                <w:rFonts w:eastAsia="Times New Roman" w:cs="Arial"/>
                <w:sz w:val="24"/>
                <w:szCs w:val="24"/>
                <w:highlight w:val="yellow"/>
              </w:rPr>
            </w:pPr>
          </w:p>
          <w:p w14:paraId="415FD0A8" w14:textId="2000CECF" w:rsidR="005F6BB9" w:rsidRPr="00456221" w:rsidRDefault="005F6BB9" w:rsidP="005F6BB9">
            <w:pPr>
              <w:jc w:val="both"/>
              <w:rPr>
                <w:rFonts w:eastAsia="Times New Roman" w:cs="Arial"/>
                <w:sz w:val="24"/>
                <w:szCs w:val="24"/>
              </w:rPr>
            </w:pPr>
            <w:r w:rsidRPr="00456221">
              <w:rPr>
                <w:rFonts w:eastAsia="Times New Roman" w:cs="Arial"/>
                <w:sz w:val="24"/>
                <w:szCs w:val="24"/>
              </w:rPr>
              <w:t xml:space="preserve">Performance against the Savings Programme is summarised in Appendix 2 and detailed in section </w:t>
            </w:r>
            <w:r w:rsidR="00CC6774" w:rsidRPr="00456221">
              <w:rPr>
                <w:rFonts w:eastAsia="Times New Roman" w:cs="Arial"/>
                <w:sz w:val="24"/>
                <w:szCs w:val="24"/>
              </w:rPr>
              <w:t>5</w:t>
            </w:r>
            <w:r w:rsidRPr="00456221">
              <w:rPr>
                <w:rFonts w:eastAsia="Times New Roman" w:cs="Arial"/>
                <w:sz w:val="24"/>
                <w:szCs w:val="24"/>
              </w:rPr>
              <w:t xml:space="preserve">. </w:t>
            </w:r>
          </w:p>
          <w:p w14:paraId="13D4A21D" w14:textId="77777777" w:rsidR="005F6BB9" w:rsidRPr="00301D4F" w:rsidRDefault="005F6BB9" w:rsidP="005F6BB9">
            <w:pPr>
              <w:jc w:val="both"/>
              <w:rPr>
                <w:rFonts w:eastAsia="Times New Roman" w:cs="Arial"/>
                <w:sz w:val="24"/>
                <w:szCs w:val="24"/>
                <w:highlight w:val="yellow"/>
              </w:rPr>
            </w:pPr>
          </w:p>
          <w:p w14:paraId="5F5BE748" w14:textId="53EABFE1" w:rsidR="005F6BB9" w:rsidRPr="00456221" w:rsidRDefault="005F6BB9" w:rsidP="005F6BB9">
            <w:pPr>
              <w:jc w:val="both"/>
              <w:rPr>
                <w:rFonts w:eastAsia="Times New Roman" w:cs="Arial"/>
                <w:sz w:val="24"/>
                <w:szCs w:val="24"/>
              </w:rPr>
            </w:pPr>
            <w:r w:rsidRPr="00456221">
              <w:rPr>
                <w:rFonts w:eastAsia="Times New Roman" w:cs="Arial"/>
                <w:sz w:val="24"/>
                <w:szCs w:val="24"/>
              </w:rPr>
              <w:t xml:space="preserve">Performance against grants and spending plans is summarised in Appendix 3 and detailed in section </w:t>
            </w:r>
            <w:r w:rsidR="00456221" w:rsidRPr="00456221">
              <w:rPr>
                <w:rFonts w:eastAsia="Times New Roman" w:cs="Arial"/>
                <w:sz w:val="24"/>
                <w:szCs w:val="24"/>
              </w:rPr>
              <w:t>6</w:t>
            </w:r>
            <w:r w:rsidRPr="00456221">
              <w:rPr>
                <w:rFonts w:eastAsia="Times New Roman" w:cs="Arial"/>
                <w:sz w:val="24"/>
                <w:szCs w:val="24"/>
              </w:rPr>
              <w:t xml:space="preserve">. </w:t>
            </w:r>
          </w:p>
          <w:p w14:paraId="63C4B090" w14:textId="77777777" w:rsidR="005F6BB9" w:rsidRPr="00301D4F" w:rsidRDefault="005F6BB9" w:rsidP="005F6BB9">
            <w:pPr>
              <w:jc w:val="both"/>
              <w:rPr>
                <w:rFonts w:eastAsia="Times New Roman" w:cs="Arial"/>
                <w:sz w:val="24"/>
                <w:szCs w:val="24"/>
                <w:highlight w:val="yellow"/>
              </w:rPr>
            </w:pPr>
          </w:p>
          <w:p w14:paraId="0BB66460" w14:textId="05E12D69" w:rsidR="005F6BB9" w:rsidRPr="007C7CF3" w:rsidRDefault="005F6BB9" w:rsidP="005F6BB9">
            <w:pPr>
              <w:jc w:val="both"/>
              <w:rPr>
                <w:rFonts w:eastAsia="Times New Roman" w:cs="Arial"/>
                <w:sz w:val="24"/>
                <w:szCs w:val="24"/>
              </w:rPr>
            </w:pPr>
            <w:r w:rsidRPr="007C7CF3">
              <w:rPr>
                <w:rFonts w:eastAsia="Times New Roman" w:cs="Arial"/>
                <w:sz w:val="24"/>
                <w:szCs w:val="24"/>
              </w:rPr>
              <w:t xml:space="preserve">Revenue and Capital programme risks are detailed in section 3, focusing specifically on areas that are subject to further investigation and the outcome could result in significant additional pressures in the current and future financial years. </w:t>
            </w:r>
          </w:p>
          <w:p w14:paraId="6F35651A" w14:textId="77777777" w:rsidR="005F6BB9" w:rsidRPr="00301D4F" w:rsidRDefault="005F6BB9" w:rsidP="005F6BB9">
            <w:pPr>
              <w:jc w:val="both"/>
              <w:rPr>
                <w:rFonts w:eastAsia="Times New Roman" w:cs="Arial"/>
                <w:sz w:val="24"/>
                <w:szCs w:val="24"/>
                <w:highlight w:val="yellow"/>
              </w:rPr>
            </w:pPr>
          </w:p>
          <w:p w14:paraId="45CC435D" w14:textId="79DC2172" w:rsidR="0011084C" w:rsidRPr="00BC3D73" w:rsidRDefault="00340655" w:rsidP="0011084C">
            <w:pPr>
              <w:jc w:val="both"/>
              <w:rPr>
                <w:rFonts w:eastAsia="Times New Roman" w:cs="Arial"/>
                <w:sz w:val="24"/>
                <w:szCs w:val="24"/>
              </w:rPr>
            </w:pPr>
            <w:r w:rsidRPr="00BC3D73">
              <w:rPr>
                <w:rFonts w:eastAsia="Times New Roman" w:cs="Arial"/>
                <w:sz w:val="24"/>
                <w:szCs w:val="24"/>
              </w:rPr>
              <w:t>The original 202</w:t>
            </w:r>
            <w:r w:rsidR="005215BB" w:rsidRPr="00BC3D73">
              <w:rPr>
                <w:rFonts w:eastAsia="Times New Roman" w:cs="Arial"/>
                <w:sz w:val="24"/>
                <w:szCs w:val="24"/>
              </w:rPr>
              <w:t>3</w:t>
            </w:r>
            <w:r w:rsidRPr="00BC3D73">
              <w:rPr>
                <w:rFonts w:eastAsia="Times New Roman" w:cs="Arial"/>
                <w:sz w:val="24"/>
                <w:szCs w:val="24"/>
              </w:rPr>
              <w:t>/2</w:t>
            </w:r>
            <w:r w:rsidR="005215BB" w:rsidRPr="00BC3D73">
              <w:rPr>
                <w:rFonts w:eastAsia="Times New Roman" w:cs="Arial"/>
                <w:sz w:val="24"/>
                <w:szCs w:val="24"/>
              </w:rPr>
              <w:t>4</w:t>
            </w:r>
            <w:r w:rsidRPr="00BC3D73">
              <w:rPr>
                <w:rFonts w:eastAsia="Times New Roman" w:cs="Arial"/>
                <w:sz w:val="24"/>
                <w:szCs w:val="24"/>
              </w:rPr>
              <w:t xml:space="preserve"> Capital Budget and </w:t>
            </w:r>
            <w:proofErr w:type="gramStart"/>
            <w:r w:rsidRPr="00BC3D73">
              <w:rPr>
                <w:rFonts w:eastAsia="Times New Roman" w:cs="Arial"/>
                <w:sz w:val="24"/>
                <w:szCs w:val="24"/>
              </w:rPr>
              <w:t>five year</w:t>
            </w:r>
            <w:proofErr w:type="gramEnd"/>
            <w:r w:rsidRPr="00BC3D73">
              <w:rPr>
                <w:rFonts w:eastAsia="Times New Roman" w:cs="Arial"/>
                <w:sz w:val="24"/>
                <w:szCs w:val="24"/>
              </w:rPr>
              <w:t xml:space="preserve"> Capital Strategy of £2</w:t>
            </w:r>
            <w:r w:rsidR="005215BB" w:rsidRPr="00BC3D73">
              <w:rPr>
                <w:rFonts w:eastAsia="Times New Roman" w:cs="Arial"/>
                <w:sz w:val="24"/>
                <w:szCs w:val="24"/>
              </w:rPr>
              <w:t>8</w:t>
            </w:r>
            <w:r w:rsidRPr="00BC3D73">
              <w:rPr>
                <w:rFonts w:eastAsia="Times New Roman" w:cs="Arial"/>
                <w:sz w:val="24"/>
                <w:szCs w:val="24"/>
              </w:rPr>
              <w:t>,</w:t>
            </w:r>
            <w:r w:rsidR="005215BB" w:rsidRPr="00BC3D73">
              <w:rPr>
                <w:rFonts w:eastAsia="Times New Roman" w:cs="Arial"/>
                <w:sz w:val="24"/>
                <w:szCs w:val="24"/>
              </w:rPr>
              <w:t>280</w:t>
            </w:r>
            <w:r w:rsidRPr="00BC3D73">
              <w:rPr>
                <w:rFonts w:eastAsia="Times New Roman" w:cs="Arial"/>
                <w:sz w:val="24"/>
                <w:szCs w:val="24"/>
              </w:rPr>
              <w:t xml:space="preserve">,000 was approved by the Fire Authority on </w:t>
            </w:r>
            <w:r w:rsidR="005215BB" w:rsidRPr="00BC3D73">
              <w:rPr>
                <w:rFonts w:eastAsia="Times New Roman" w:cs="Arial"/>
                <w:sz w:val="24"/>
                <w:szCs w:val="24"/>
              </w:rPr>
              <w:t>9</w:t>
            </w:r>
            <w:r w:rsidRPr="00BC3D73">
              <w:rPr>
                <w:rFonts w:eastAsia="Times New Roman" w:cs="Arial"/>
                <w:sz w:val="24"/>
                <w:szCs w:val="24"/>
              </w:rPr>
              <w:t xml:space="preserve"> February 202</w:t>
            </w:r>
            <w:r w:rsidR="005215BB" w:rsidRPr="00BC3D73">
              <w:rPr>
                <w:rFonts w:eastAsia="Times New Roman" w:cs="Arial"/>
                <w:sz w:val="24"/>
                <w:szCs w:val="24"/>
              </w:rPr>
              <w:t>3</w:t>
            </w:r>
            <w:r w:rsidRPr="00BC3D73">
              <w:rPr>
                <w:rFonts w:eastAsia="Times New Roman" w:cs="Arial"/>
                <w:sz w:val="24"/>
                <w:szCs w:val="24"/>
              </w:rPr>
              <w:t>.  The Capital Strategy has been increased to £2</w:t>
            </w:r>
            <w:r w:rsidR="005215BB" w:rsidRPr="00BC3D73">
              <w:rPr>
                <w:rFonts w:eastAsia="Times New Roman" w:cs="Arial"/>
                <w:sz w:val="24"/>
                <w:szCs w:val="24"/>
              </w:rPr>
              <w:t>8</w:t>
            </w:r>
            <w:r w:rsidRPr="00BC3D73">
              <w:rPr>
                <w:rFonts w:eastAsia="Times New Roman" w:cs="Arial"/>
                <w:sz w:val="24"/>
                <w:szCs w:val="24"/>
              </w:rPr>
              <w:t>,</w:t>
            </w:r>
            <w:r w:rsidR="005215BB" w:rsidRPr="00BC3D73">
              <w:rPr>
                <w:rFonts w:eastAsia="Times New Roman" w:cs="Arial"/>
                <w:sz w:val="24"/>
                <w:szCs w:val="24"/>
              </w:rPr>
              <w:t>793</w:t>
            </w:r>
            <w:r w:rsidRPr="00BC3D73">
              <w:rPr>
                <w:rFonts w:eastAsia="Times New Roman" w:cs="Arial"/>
                <w:sz w:val="24"/>
                <w:szCs w:val="24"/>
              </w:rPr>
              <w:t>,000 to include slippage of £9</w:t>
            </w:r>
            <w:r w:rsidR="005215BB" w:rsidRPr="00BC3D73">
              <w:rPr>
                <w:rFonts w:eastAsia="Times New Roman" w:cs="Arial"/>
                <w:sz w:val="24"/>
                <w:szCs w:val="24"/>
              </w:rPr>
              <w:t>75</w:t>
            </w:r>
            <w:r w:rsidRPr="00BC3D73">
              <w:rPr>
                <w:rFonts w:eastAsia="Times New Roman" w:cs="Arial"/>
                <w:sz w:val="24"/>
                <w:szCs w:val="24"/>
              </w:rPr>
              <w:t>,000 and allocation of spend in advance of £</w:t>
            </w:r>
            <w:r w:rsidR="005215BB" w:rsidRPr="00BC3D73">
              <w:rPr>
                <w:rFonts w:eastAsia="Times New Roman" w:cs="Arial"/>
                <w:sz w:val="24"/>
                <w:szCs w:val="24"/>
              </w:rPr>
              <w:t>462</w:t>
            </w:r>
            <w:r w:rsidRPr="00BC3D73">
              <w:rPr>
                <w:rFonts w:eastAsia="Times New Roman" w:cs="Arial"/>
                <w:sz w:val="24"/>
                <w:szCs w:val="24"/>
              </w:rPr>
              <w:t>,000 from 202</w:t>
            </w:r>
            <w:r w:rsidR="005215BB" w:rsidRPr="00BC3D73">
              <w:rPr>
                <w:rFonts w:eastAsia="Times New Roman" w:cs="Arial"/>
                <w:sz w:val="24"/>
                <w:szCs w:val="24"/>
              </w:rPr>
              <w:t>2</w:t>
            </w:r>
            <w:r w:rsidRPr="00BC3D73">
              <w:rPr>
                <w:rFonts w:eastAsia="Times New Roman" w:cs="Arial"/>
                <w:sz w:val="24"/>
                <w:szCs w:val="24"/>
              </w:rPr>
              <w:t>/2</w:t>
            </w:r>
            <w:r w:rsidR="005215BB" w:rsidRPr="00BC3D73">
              <w:rPr>
                <w:rFonts w:eastAsia="Times New Roman" w:cs="Arial"/>
                <w:sz w:val="24"/>
                <w:szCs w:val="24"/>
              </w:rPr>
              <w:t>3</w:t>
            </w:r>
            <w:r w:rsidR="0011084C" w:rsidRPr="00BC3D73">
              <w:rPr>
                <w:rFonts w:eastAsia="Times New Roman" w:cs="Arial"/>
                <w:sz w:val="24"/>
                <w:szCs w:val="24"/>
              </w:rPr>
              <w:t>.</w:t>
            </w:r>
          </w:p>
          <w:p w14:paraId="3BFF1B1C" w14:textId="44BFD5D7" w:rsidR="00340655" w:rsidRPr="00301D4F" w:rsidRDefault="00340655" w:rsidP="0011084C">
            <w:pPr>
              <w:jc w:val="both"/>
              <w:rPr>
                <w:rFonts w:eastAsia="Times New Roman" w:cs="Arial"/>
                <w:sz w:val="24"/>
                <w:szCs w:val="24"/>
                <w:highlight w:val="yellow"/>
              </w:rPr>
            </w:pPr>
          </w:p>
          <w:p w14:paraId="0440E1F9" w14:textId="6AC1AA73" w:rsidR="00340655" w:rsidRPr="00BC3D73" w:rsidRDefault="005F6BB9" w:rsidP="005F6BB9">
            <w:pPr>
              <w:jc w:val="both"/>
              <w:rPr>
                <w:rFonts w:eastAsia="Times New Roman" w:cs="Arial"/>
                <w:sz w:val="24"/>
                <w:szCs w:val="24"/>
              </w:rPr>
            </w:pPr>
            <w:r w:rsidRPr="00BC3D73">
              <w:rPr>
                <w:rFonts w:eastAsia="Times New Roman" w:cs="Arial"/>
                <w:sz w:val="24"/>
                <w:szCs w:val="24"/>
              </w:rPr>
              <w:t>The current year Capital Budget was approved by the Fire Authority at £</w:t>
            </w:r>
            <w:r w:rsidR="00853C52" w:rsidRPr="00BC3D73">
              <w:rPr>
                <w:rFonts w:eastAsia="Times New Roman" w:cs="Arial"/>
                <w:sz w:val="24"/>
                <w:szCs w:val="24"/>
              </w:rPr>
              <w:t>8,421</w:t>
            </w:r>
            <w:r w:rsidRPr="00BC3D73">
              <w:rPr>
                <w:rFonts w:eastAsia="Times New Roman" w:cs="Arial"/>
                <w:sz w:val="24"/>
                <w:szCs w:val="24"/>
              </w:rPr>
              <w:t>,000</w:t>
            </w:r>
            <w:r w:rsidR="0049663F" w:rsidRPr="00BC3D73">
              <w:rPr>
                <w:rFonts w:eastAsia="Times New Roman" w:cs="Arial"/>
                <w:sz w:val="24"/>
                <w:szCs w:val="24"/>
              </w:rPr>
              <w:t xml:space="preserve"> and updated to £</w:t>
            </w:r>
            <w:r w:rsidR="000D4564" w:rsidRPr="00BC3D73">
              <w:rPr>
                <w:rFonts w:eastAsia="Times New Roman" w:cs="Arial"/>
                <w:sz w:val="24"/>
                <w:szCs w:val="24"/>
              </w:rPr>
              <w:t>8</w:t>
            </w:r>
            <w:r w:rsidR="0049663F" w:rsidRPr="00BC3D73">
              <w:rPr>
                <w:rFonts w:eastAsia="Times New Roman" w:cs="Arial"/>
                <w:sz w:val="24"/>
                <w:szCs w:val="24"/>
              </w:rPr>
              <w:t>,</w:t>
            </w:r>
            <w:r w:rsidR="00853C52" w:rsidRPr="00BC3D73">
              <w:rPr>
                <w:rFonts w:eastAsia="Times New Roman" w:cs="Arial"/>
                <w:sz w:val="24"/>
                <w:szCs w:val="24"/>
              </w:rPr>
              <w:t>934,</w:t>
            </w:r>
            <w:r w:rsidR="0049663F" w:rsidRPr="00BC3D73">
              <w:rPr>
                <w:rFonts w:eastAsia="Times New Roman" w:cs="Arial"/>
                <w:sz w:val="24"/>
                <w:szCs w:val="24"/>
              </w:rPr>
              <w:t>000 (Property £</w:t>
            </w:r>
            <w:r w:rsidR="00853C52" w:rsidRPr="00BC3D73">
              <w:rPr>
                <w:rFonts w:eastAsia="Times New Roman" w:cs="Arial"/>
                <w:sz w:val="24"/>
                <w:szCs w:val="24"/>
              </w:rPr>
              <w:t>5,665</w:t>
            </w:r>
            <w:r w:rsidR="000D4564" w:rsidRPr="00BC3D73">
              <w:rPr>
                <w:rFonts w:eastAsia="Times New Roman" w:cs="Arial"/>
                <w:sz w:val="24"/>
                <w:szCs w:val="24"/>
              </w:rPr>
              <w:t>,000</w:t>
            </w:r>
            <w:r w:rsidR="0049663F" w:rsidRPr="00BC3D73">
              <w:rPr>
                <w:rFonts w:eastAsia="Times New Roman" w:cs="Arial"/>
                <w:sz w:val="24"/>
                <w:szCs w:val="24"/>
              </w:rPr>
              <w:t xml:space="preserve"> and Fleet and Equipment £</w:t>
            </w:r>
            <w:r w:rsidR="00853C52" w:rsidRPr="00BC3D73">
              <w:rPr>
                <w:rFonts w:eastAsia="Times New Roman" w:cs="Arial"/>
                <w:sz w:val="24"/>
                <w:szCs w:val="24"/>
              </w:rPr>
              <w:t>3,279</w:t>
            </w:r>
            <w:r w:rsidR="0049663F" w:rsidRPr="00BC3D73">
              <w:rPr>
                <w:rFonts w:eastAsia="Times New Roman" w:cs="Arial"/>
                <w:sz w:val="24"/>
                <w:szCs w:val="24"/>
              </w:rPr>
              <w:t xml:space="preserve">,000) </w:t>
            </w:r>
            <w:r w:rsidR="00340655" w:rsidRPr="00BC3D73">
              <w:rPr>
                <w:rFonts w:eastAsia="Times New Roman" w:cs="Arial"/>
                <w:sz w:val="24"/>
                <w:szCs w:val="24"/>
              </w:rPr>
              <w:t>including slippage of £</w:t>
            </w:r>
            <w:r w:rsidR="00853C52" w:rsidRPr="00BC3D73">
              <w:rPr>
                <w:rFonts w:eastAsia="Times New Roman" w:cs="Arial"/>
                <w:sz w:val="24"/>
                <w:szCs w:val="24"/>
              </w:rPr>
              <w:t>975,</w:t>
            </w:r>
            <w:r w:rsidR="00340655" w:rsidRPr="00BC3D73">
              <w:rPr>
                <w:rFonts w:eastAsia="Times New Roman" w:cs="Arial"/>
                <w:sz w:val="24"/>
                <w:szCs w:val="24"/>
              </w:rPr>
              <w:t>000 brought forward from 202</w:t>
            </w:r>
            <w:r w:rsidR="00853C52" w:rsidRPr="00BC3D73">
              <w:rPr>
                <w:rFonts w:eastAsia="Times New Roman" w:cs="Arial"/>
                <w:sz w:val="24"/>
                <w:szCs w:val="24"/>
              </w:rPr>
              <w:t>2</w:t>
            </w:r>
            <w:r w:rsidR="00340655" w:rsidRPr="00BC3D73">
              <w:rPr>
                <w:rFonts w:eastAsia="Times New Roman" w:cs="Arial"/>
                <w:sz w:val="24"/>
                <w:szCs w:val="24"/>
              </w:rPr>
              <w:t>/2</w:t>
            </w:r>
            <w:r w:rsidR="00853C52" w:rsidRPr="00BC3D73">
              <w:rPr>
                <w:rFonts w:eastAsia="Times New Roman" w:cs="Arial"/>
                <w:sz w:val="24"/>
                <w:szCs w:val="24"/>
              </w:rPr>
              <w:t>3</w:t>
            </w:r>
            <w:r w:rsidR="00340655" w:rsidRPr="00BC3D73">
              <w:rPr>
                <w:rFonts w:eastAsia="Times New Roman" w:cs="Arial"/>
                <w:sz w:val="24"/>
                <w:szCs w:val="24"/>
              </w:rPr>
              <w:t>, allocation of spend in advance of £</w:t>
            </w:r>
            <w:r w:rsidR="00853C52" w:rsidRPr="00BC3D73">
              <w:rPr>
                <w:rFonts w:eastAsia="Times New Roman" w:cs="Arial"/>
                <w:sz w:val="24"/>
                <w:szCs w:val="24"/>
              </w:rPr>
              <w:t>462,</w:t>
            </w:r>
            <w:r w:rsidR="00340655" w:rsidRPr="00BC3D73">
              <w:rPr>
                <w:rFonts w:eastAsia="Times New Roman" w:cs="Arial"/>
                <w:sz w:val="24"/>
                <w:szCs w:val="24"/>
              </w:rPr>
              <w:t>000 from 202</w:t>
            </w:r>
            <w:r w:rsidR="00853C52" w:rsidRPr="00BC3D73">
              <w:rPr>
                <w:rFonts w:eastAsia="Times New Roman" w:cs="Arial"/>
                <w:sz w:val="24"/>
                <w:szCs w:val="24"/>
              </w:rPr>
              <w:t>2</w:t>
            </w:r>
            <w:r w:rsidR="00340655" w:rsidRPr="00BC3D73">
              <w:rPr>
                <w:rFonts w:eastAsia="Times New Roman" w:cs="Arial"/>
                <w:sz w:val="24"/>
                <w:szCs w:val="24"/>
              </w:rPr>
              <w:t>/2</w:t>
            </w:r>
            <w:r w:rsidR="00853C52" w:rsidRPr="00BC3D73">
              <w:rPr>
                <w:rFonts w:eastAsia="Times New Roman" w:cs="Arial"/>
                <w:sz w:val="24"/>
                <w:szCs w:val="24"/>
              </w:rPr>
              <w:t>3.</w:t>
            </w:r>
            <w:r w:rsidR="00340655" w:rsidRPr="00BC3D73">
              <w:rPr>
                <w:rFonts w:eastAsia="Times New Roman" w:cs="Arial"/>
                <w:sz w:val="24"/>
                <w:szCs w:val="24"/>
              </w:rPr>
              <w:t xml:space="preserve"> </w:t>
            </w:r>
          </w:p>
          <w:p w14:paraId="06904ED8" w14:textId="77777777" w:rsidR="00340655" w:rsidRPr="00301D4F" w:rsidRDefault="00340655" w:rsidP="005F6BB9">
            <w:pPr>
              <w:jc w:val="both"/>
              <w:rPr>
                <w:rFonts w:eastAsia="Times New Roman" w:cs="Arial"/>
                <w:sz w:val="24"/>
                <w:szCs w:val="24"/>
                <w:highlight w:val="yellow"/>
              </w:rPr>
            </w:pPr>
          </w:p>
          <w:p w14:paraId="369EB13D" w14:textId="6566C941" w:rsidR="005F6BB9" w:rsidRPr="00301D4F" w:rsidRDefault="005F6BB9" w:rsidP="005F6BB9">
            <w:pPr>
              <w:jc w:val="both"/>
              <w:rPr>
                <w:rFonts w:eastAsia="Times New Roman" w:cs="Arial"/>
                <w:sz w:val="24"/>
                <w:szCs w:val="24"/>
                <w:highlight w:val="yellow"/>
              </w:rPr>
            </w:pPr>
            <w:r w:rsidRPr="00313C53">
              <w:rPr>
                <w:rFonts w:eastAsia="Times New Roman" w:cs="Arial"/>
                <w:sz w:val="24"/>
                <w:szCs w:val="24"/>
              </w:rPr>
              <w:t>Officers have reviewed the capital plans for 202</w:t>
            </w:r>
            <w:r w:rsidR="00853C52" w:rsidRPr="00313C53">
              <w:rPr>
                <w:rFonts w:eastAsia="Times New Roman" w:cs="Arial"/>
                <w:sz w:val="24"/>
                <w:szCs w:val="24"/>
              </w:rPr>
              <w:t>3</w:t>
            </w:r>
            <w:r w:rsidRPr="00313C53">
              <w:rPr>
                <w:rFonts w:eastAsia="Times New Roman" w:cs="Arial"/>
                <w:sz w:val="24"/>
                <w:szCs w:val="24"/>
              </w:rPr>
              <w:t>/2</w:t>
            </w:r>
            <w:r w:rsidR="00853C52" w:rsidRPr="00313C53">
              <w:rPr>
                <w:rFonts w:eastAsia="Times New Roman" w:cs="Arial"/>
                <w:sz w:val="24"/>
                <w:szCs w:val="24"/>
              </w:rPr>
              <w:t>4</w:t>
            </w:r>
            <w:r w:rsidRPr="00313C53">
              <w:rPr>
                <w:rFonts w:eastAsia="Times New Roman" w:cs="Arial"/>
                <w:sz w:val="24"/>
                <w:szCs w:val="24"/>
              </w:rPr>
              <w:t xml:space="preserve"> and report slippage on delivery of projects to the value of £</w:t>
            </w:r>
            <w:r w:rsidR="00313C53" w:rsidRPr="00313C53">
              <w:rPr>
                <w:rFonts w:eastAsia="Times New Roman" w:cs="Arial"/>
                <w:sz w:val="24"/>
                <w:szCs w:val="24"/>
              </w:rPr>
              <w:t>3</w:t>
            </w:r>
            <w:r w:rsidR="00853C52" w:rsidRPr="00313C53">
              <w:rPr>
                <w:rFonts w:eastAsia="Times New Roman" w:cs="Arial"/>
                <w:sz w:val="24"/>
                <w:szCs w:val="24"/>
              </w:rPr>
              <w:t>,</w:t>
            </w:r>
            <w:r w:rsidR="00313C53" w:rsidRPr="00313C53">
              <w:rPr>
                <w:rFonts w:eastAsia="Times New Roman" w:cs="Arial"/>
                <w:sz w:val="24"/>
                <w:szCs w:val="24"/>
              </w:rPr>
              <w:t>911</w:t>
            </w:r>
            <w:r w:rsidR="00853C52" w:rsidRPr="00313C53">
              <w:rPr>
                <w:rFonts w:eastAsia="Times New Roman" w:cs="Arial"/>
                <w:sz w:val="24"/>
                <w:szCs w:val="24"/>
              </w:rPr>
              <w:t>,</w:t>
            </w:r>
            <w:r w:rsidR="00344A58" w:rsidRPr="00313C53">
              <w:rPr>
                <w:rFonts w:eastAsia="Times New Roman" w:cs="Arial"/>
                <w:sz w:val="24"/>
                <w:szCs w:val="24"/>
              </w:rPr>
              <w:t>000</w:t>
            </w:r>
            <w:r w:rsidRPr="00313C53">
              <w:rPr>
                <w:rFonts w:eastAsia="Times New Roman" w:cs="Arial"/>
                <w:sz w:val="24"/>
                <w:szCs w:val="24"/>
              </w:rPr>
              <w:t xml:space="preserve"> (</w:t>
            </w:r>
            <w:r w:rsidR="00313C53" w:rsidRPr="00313C53">
              <w:rPr>
                <w:rFonts w:eastAsia="Times New Roman" w:cs="Arial"/>
                <w:sz w:val="24"/>
                <w:szCs w:val="24"/>
              </w:rPr>
              <w:t>43.8</w:t>
            </w:r>
            <w:r w:rsidRPr="00313C53">
              <w:rPr>
                <w:rFonts w:eastAsia="Times New Roman" w:cs="Arial"/>
                <w:sz w:val="24"/>
                <w:szCs w:val="24"/>
              </w:rPr>
              <w:t>%)</w:t>
            </w:r>
            <w:r w:rsidR="001C51E2" w:rsidRPr="00313C53">
              <w:rPr>
                <w:rFonts w:eastAsia="Times New Roman" w:cs="Arial"/>
                <w:sz w:val="24"/>
                <w:szCs w:val="24"/>
              </w:rPr>
              <w:t xml:space="preserve"> and spend in advance of £</w:t>
            </w:r>
            <w:r w:rsidR="006245C2" w:rsidRPr="00313C53">
              <w:rPr>
                <w:rFonts w:eastAsia="Times New Roman" w:cs="Arial"/>
                <w:sz w:val="24"/>
                <w:szCs w:val="24"/>
              </w:rPr>
              <w:t>2</w:t>
            </w:r>
            <w:r w:rsidR="00313C53" w:rsidRPr="00313C53">
              <w:rPr>
                <w:rFonts w:eastAsia="Times New Roman" w:cs="Arial"/>
                <w:sz w:val="24"/>
                <w:szCs w:val="24"/>
              </w:rPr>
              <w:t>11</w:t>
            </w:r>
            <w:r w:rsidR="001C51E2" w:rsidRPr="00313C53">
              <w:rPr>
                <w:rFonts w:eastAsia="Times New Roman" w:cs="Arial"/>
                <w:sz w:val="24"/>
                <w:szCs w:val="24"/>
              </w:rPr>
              <w:t>,000</w:t>
            </w:r>
            <w:r w:rsidRPr="00313C53">
              <w:rPr>
                <w:rFonts w:eastAsia="Times New Roman" w:cs="Arial"/>
                <w:sz w:val="24"/>
                <w:szCs w:val="24"/>
              </w:rPr>
              <w:t xml:space="preserve">.  </w:t>
            </w:r>
            <w:r w:rsidR="008906BA" w:rsidRPr="00313C53">
              <w:rPr>
                <w:rFonts w:eastAsia="Times New Roman" w:cs="Arial"/>
                <w:sz w:val="24"/>
                <w:szCs w:val="24"/>
              </w:rPr>
              <w:t>In addition underspend of £</w:t>
            </w:r>
            <w:r w:rsidR="00313C53" w:rsidRPr="00313C53">
              <w:rPr>
                <w:rFonts w:eastAsia="Times New Roman" w:cs="Arial"/>
                <w:sz w:val="24"/>
                <w:szCs w:val="24"/>
              </w:rPr>
              <w:t>4</w:t>
            </w:r>
            <w:r w:rsidR="0048398F" w:rsidRPr="00313C53">
              <w:rPr>
                <w:rFonts w:eastAsia="Times New Roman" w:cs="Arial"/>
                <w:sz w:val="24"/>
                <w:szCs w:val="24"/>
              </w:rPr>
              <w:t>7</w:t>
            </w:r>
            <w:r w:rsidR="00313C53" w:rsidRPr="00313C53">
              <w:rPr>
                <w:rFonts w:eastAsia="Times New Roman" w:cs="Arial"/>
                <w:sz w:val="24"/>
                <w:szCs w:val="24"/>
              </w:rPr>
              <w:t>8</w:t>
            </w:r>
            <w:r w:rsidR="008906BA" w:rsidRPr="00313C53">
              <w:rPr>
                <w:rFonts w:eastAsia="Times New Roman" w:cs="Arial"/>
                <w:sz w:val="24"/>
                <w:szCs w:val="24"/>
              </w:rPr>
              <w:t xml:space="preserve">,000 is expected against </w:t>
            </w:r>
            <w:r w:rsidR="00B159FE" w:rsidRPr="00313C53">
              <w:rPr>
                <w:rFonts w:eastAsia="Times New Roman" w:cs="Arial"/>
                <w:sz w:val="24"/>
                <w:szCs w:val="24"/>
              </w:rPr>
              <w:t>c</w:t>
            </w:r>
            <w:r w:rsidR="008906BA" w:rsidRPr="00313C53">
              <w:rPr>
                <w:rFonts w:eastAsia="Times New Roman" w:cs="Arial"/>
                <w:sz w:val="24"/>
                <w:szCs w:val="24"/>
              </w:rPr>
              <w:t>apital schemes.</w:t>
            </w:r>
            <w:r w:rsidRPr="00313C53">
              <w:rPr>
                <w:rFonts w:eastAsia="Times New Roman" w:cs="Arial"/>
                <w:sz w:val="24"/>
                <w:szCs w:val="24"/>
              </w:rPr>
              <w:t xml:space="preserve">   </w:t>
            </w:r>
            <w:r w:rsidR="007A4790">
              <w:rPr>
                <w:rFonts w:eastAsia="Times New Roman" w:cs="Arial"/>
                <w:sz w:val="24"/>
                <w:szCs w:val="24"/>
              </w:rPr>
              <w:t xml:space="preserve">The underspend has reduced by £234,000, although there are significant movements within Estates and Engineering.  </w:t>
            </w:r>
            <w:r w:rsidRPr="00313C53">
              <w:rPr>
                <w:rFonts w:eastAsia="Times New Roman" w:cs="Arial"/>
                <w:sz w:val="24"/>
                <w:szCs w:val="24"/>
              </w:rPr>
              <w:t xml:space="preserve">Detailed information is contained within section </w:t>
            </w:r>
            <w:r w:rsidR="00EE626E" w:rsidRPr="00313C53">
              <w:rPr>
                <w:rFonts w:eastAsia="Times New Roman" w:cs="Arial"/>
                <w:sz w:val="24"/>
                <w:szCs w:val="24"/>
              </w:rPr>
              <w:t>8</w:t>
            </w:r>
            <w:r w:rsidRPr="00313C53">
              <w:rPr>
                <w:rFonts w:eastAsia="Times New Roman" w:cs="Arial"/>
                <w:sz w:val="24"/>
                <w:szCs w:val="24"/>
              </w:rPr>
              <w:t xml:space="preserve">. </w:t>
            </w:r>
            <w:r w:rsidR="0069094A" w:rsidRPr="00313C53">
              <w:rPr>
                <w:rFonts w:eastAsia="Times New Roman" w:cs="Arial"/>
                <w:sz w:val="24"/>
                <w:szCs w:val="24"/>
              </w:rPr>
              <w:t xml:space="preserve">The Estates and Engineering </w:t>
            </w:r>
            <w:r w:rsidRPr="00313C53">
              <w:rPr>
                <w:rFonts w:eastAsia="Times New Roman" w:cs="Arial"/>
                <w:sz w:val="24"/>
                <w:szCs w:val="24"/>
              </w:rPr>
              <w:t>Capital Projects 202</w:t>
            </w:r>
            <w:r w:rsidR="006245C2" w:rsidRPr="00313C53">
              <w:rPr>
                <w:rFonts w:eastAsia="Times New Roman" w:cs="Arial"/>
                <w:sz w:val="24"/>
                <w:szCs w:val="24"/>
              </w:rPr>
              <w:t>3</w:t>
            </w:r>
            <w:r w:rsidRPr="00313C53">
              <w:rPr>
                <w:rFonts w:eastAsia="Times New Roman" w:cs="Arial"/>
                <w:sz w:val="24"/>
                <w:szCs w:val="24"/>
              </w:rPr>
              <w:t>/2</w:t>
            </w:r>
            <w:r w:rsidR="006245C2" w:rsidRPr="00313C53">
              <w:rPr>
                <w:rFonts w:eastAsia="Times New Roman" w:cs="Arial"/>
                <w:sz w:val="24"/>
                <w:szCs w:val="24"/>
              </w:rPr>
              <w:t>4</w:t>
            </w:r>
            <w:r w:rsidRPr="00313C53">
              <w:rPr>
                <w:rFonts w:eastAsia="Times New Roman" w:cs="Arial"/>
                <w:sz w:val="24"/>
                <w:szCs w:val="24"/>
              </w:rPr>
              <w:t xml:space="preserve"> are detailed in </w:t>
            </w:r>
            <w:r w:rsidR="001C51E2" w:rsidRPr="00313C53">
              <w:rPr>
                <w:rFonts w:eastAsia="Times New Roman" w:cs="Arial"/>
                <w:sz w:val="24"/>
                <w:szCs w:val="24"/>
              </w:rPr>
              <w:t>Appendix 4</w:t>
            </w:r>
            <w:r w:rsidRPr="00313C53">
              <w:rPr>
                <w:rFonts w:eastAsia="Times New Roman" w:cs="Arial"/>
                <w:sz w:val="24"/>
                <w:szCs w:val="24"/>
              </w:rPr>
              <w:t>.</w:t>
            </w:r>
          </w:p>
          <w:p w14:paraId="5A0DE794" w14:textId="6279FDB1" w:rsidR="0001520E" w:rsidRPr="00301D4F" w:rsidRDefault="0001520E" w:rsidP="005F6BB9">
            <w:pPr>
              <w:jc w:val="both"/>
              <w:rPr>
                <w:rFonts w:eastAsia="Times New Roman" w:cs="Arial"/>
                <w:sz w:val="24"/>
                <w:szCs w:val="24"/>
                <w:highlight w:val="yellow"/>
              </w:rPr>
            </w:pPr>
          </w:p>
          <w:p w14:paraId="5165A0C4" w14:textId="73C999F5" w:rsidR="005F6BB9" w:rsidRPr="007C7CF3" w:rsidRDefault="005F6BB9" w:rsidP="005F6BB9">
            <w:pPr>
              <w:jc w:val="both"/>
              <w:rPr>
                <w:rFonts w:eastAsia="Times New Roman" w:cs="Arial"/>
                <w:sz w:val="24"/>
                <w:szCs w:val="24"/>
              </w:rPr>
            </w:pPr>
            <w:r w:rsidRPr="00296B8C">
              <w:rPr>
                <w:rFonts w:eastAsia="Times New Roman" w:cs="Arial"/>
                <w:sz w:val="24"/>
                <w:szCs w:val="24"/>
              </w:rPr>
              <w:t>The position on reserves shows an opening balance of £</w:t>
            </w:r>
            <w:r w:rsidR="00E31694" w:rsidRPr="00296B8C">
              <w:rPr>
                <w:rFonts w:eastAsia="Times New Roman" w:cs="Arial"/>
                <w:sz w:val="24"/>
                <w:szCs w:val="24"/>
              </w:rPr>
              <w:t>1</w:t>
            </w:r>
            <w:r w:rsidR="00CD4A7A" w:rsidRPr="00296B8C">
              <w:rPr>
                <w:rFonts w:eastAsia="Times New Roman" w:cs="Arial"/>
                <w:sz w:val="24"/>
                <w:szCs w:val="24"/>
              </w:rPr>
              <w:t>4</w:t>
            </w:r>
            <w:r w:rsidRPr="00296B8C">
              <w:rPr>
                <w:rFonts w:eastAsia="Times New Roman" w:cs="Arial"/>
                <w:sz w:val="24"/>
                <w:szCs w:val="24"/>
              </w:rPr>
              <w:t>,</w:t>
            </w:r>
            <w:r w:rsidR="00CD4A7A" w:rsidRPr="00296B8C">
              <w:rPr>
                <w:rFonts w:eastAsia="Times New Roman" w:cs="Arial"/>
                <w:sz w:val="24"/>
                <w:szCs w:val="24"/>
              </w:rPr>
              <w:t>460</w:t>
            </w:r>
            <w:r w:rsidRPr="00296B8C">
              <w:rPr>
                <w:rFonts w:eastAsia="Times New Roman" w:cs="Arial"/>
                <w:sz w:val="24"/>
                <w:szCs w:val="24"/>
              </w:rPr>
              <w:t xml:space="preserve">,00. </w:t>
            </w:r>
            <w:r w:rsidRPr="007C7CF3">
              <w:rPr>
                <w:rFonts w:eastAsia="Times New Roman" w:cs="Arial"/>
                <w:sz w:val="24"/>
                <w:szCs w:val="24"/>
              </w:rPr>
              <w:t>The forecast net drawdown from reserves is £</w:t>
            </w:r>
            <w:r w:rsidR="007C7CF3" w:rsidRPr="007C7CF3">
              <w:rPr>
                <w:rFonts w:eastAsia="Times New Roman" w:cs="Arial"/>
                <w:sz w:val="24"/>
                <w:szCs w:val="24"/>
              </w:rPr>
              <w:t>5,724</w:t>
            </w:r>
            <w:r w:rsidR="00E8715C" w:rsidRPr="007C7CF3">
              <w:rPr>
                <w:rFonts w:eastAsia="Times New Roman" w:cs="Arial"/>
                <w:sz w:val="24"/>
                <w:szCs w:val="24"/>
              </w:rPr>
              <w:t>,</w:t>
            </w:r>
            <w:r w:rsidRPr="007C7CF3">
              <w:rPr>
                <w:rFonts w:eastAsia="Times New Roman" w:cs="Arial"/>
                <w:sz w:val="24"/>
                <w:szCs w:val="24"/>
              </w:rPr>
              <w:t>000, a reduction of £</w:t>
            </w:r>
            <w:r w:rsidR="0048398F" w:rsidRPr="007C7CF3">
              <w:rPr>
                <w:rFonts w:eastAsia="Times New Roman" w:cs="Arial"/>
                <w:sz w:val="24"/>
                <w:szCs w:val="24"/>
              </w:rPr>
              <w:t>1,</w:t>
            </w:r>
            <w:r w:rsidR="007C7CF3" w:rsidRPr="007C7CF3">
              <w:rPr>
                <w:rFonts w:eastAsia="Times New Roman" w:cs="Arial"/>
                <w:sz w:val="24"/>
                <w:szCs w:val="24"/>
              </w:rPr>
              <w:t>569</w:t>
            </w:r>
            <w:r w:rsidR="00CD4A7A" w:rsidRPr="007C7CF3">
              <w:rPr>
                <w:rFonts w:eastAsia="Times New Roman" w:cs="Arial"/>
                <w:sz w:val="24"/>
                <w:szCs w:val="24"/>
              </w:rPr>
              <w:t>,000</w:t>
            </w:r>
            <w:r w:rsidRPr="007C7CF3">
              <w:rPr>
                <w:rFonts w:eastAsia="Times New Roman" w:cs="Arial"/>
                <w:sz w:val="24"/>
                <w:szCs w:val="24"/>
              </w:rPr>
              <w:t xml:space="preserve"> compared to the planned drawdown of £</w:t>
            </w:r>
            <w:r w:rsidR="00CD4A7A" w:rsidRPr="007C7CF3">
              <w:rPr>
                <w:rFonts w:eastAsia="Times New Roman" w:cs="Arial"/>
                <w:sz w:val="24"/>
                <w:szCs w:val="24"/>
              </w:rPr>
              <w:t>7,293,000</w:t>
            </w:r>
            <w:r w:rsidRPr="007C7CF3">
              <w:rPr>
                <w:rFonts w:eastAsia="Times New Roman" w:cs="Arial"/>
                <w:sz w:val="24"/>
                <w:szCs w:val="24"/>
              </w:rPr>
              <w:t>. This results in an estimated closing balance of £</w:t>
            </w:r>
            <w:r w:rsidR="0048398F" w:rsidRPr="007C7CF3">
              <w:rPr>
                <w:rFonts w:eastAsia="Times New Roman" w:cs="Arial"/>
                <w:sz w:val="24"/>
                <w:szCs w:val="24"/>
              </w:rPr>
              <w:t>8</w:t>
            </w:r>
            <w:r w:rsidR="000A3D70" w:rsidRPr="007C7CF3">
              <w:rPr>
                <w:rFonts w:eastAsia="Times New Roman" w:cs="Arial"/>
                <w:sz w:val="24"/>
                <w:szCs w:val="24"/>
              </w:rPr>
              <w:t>,</w:t>
            </w:r>
            <w:r w:rsidR="007C7CF3" w:rsidRPr="007C7CF3">
              <w:rPr>
                <w:rFonts w:eastAsia="Times New Roman" w:cs="Arial"/>
                <w:sz w:val="24"/>
                <w:szCs w:val="24"/>
              </w:rPr>
              <w:t>736</w:t>
            </w:r>
            <w:r w:rsidR="006D126A" w:rsidRPr="007C7CF3">
              <w:rPr>
                <w:rFonts w:eastAsia="Times New Roman" w:cs="Arial"/>
                <w:sz w:val="24"/>
                <w:szCs w:val="24"/>
              </w:rPr>
              <w:t>,</w:t>
            </w:r>
            <w:r w:rsidRPr="007C7CF3">
              <w:rPr>
                <w:rFonts w:eastAsia="Times New Roman" w:cs="Arial"/>
                <w:sz w:val="24"/>
                <w:szCs w:val="24"/>
              </w:rPr>
              <w:t xml:space="preserve">000, as detailed in section </w:t>
            </w:r>
            <w:r w:rsidR="007C7CF3" w:rsidRPr="007C7CF3">
              <w:rPr>
                <w:rFonts w:eastAsia="Times New Roman" w:cs="Arial"/>
                <w:sz w:val="24"/>
                <w:szCs w:val="24"/>
              </w:rPr>
              <w:t>10</w:t>
            </w:r>
            <w:r w:rsidRPr="007C7CF3">
              <w:rPr>
                <w:rFonts w:eastAsia="Times New Roman" w:cs="Arial"/>
                <w:sz w:val="24"/>
                <w:szCs w:val="24"/>
              </w:rPr>
              <w:t xml:space="preserve"> and summarised in Appendix </w:t>
            </w:r>
            <w:r w:rsidR="007C7CF3" w:rsidRPr="007C7CF3">
              <w:rPr>
                <w:rFonts w:eastAsia="Times New Roman" w:cs="Arial"/>
                <w:sz w:val="24"/>
                <w:szCs w:val="24"/>
              </w:rPr>
              <w:t>6</w:t>
            </w:r>
            <w:r w:rsidRPr="007C7CF3">
              <w:rPr>
                <w:rFonts w:eastAsia="Times New Roman" w:cs="Arial"/>
                <w:sz w:val="24"/>
                <w:szCs w:val="24"/>
              </w:rPr>
              <w:t>.  Work is ongoing to review likely drawdown of reserves (including grants brought forward) for the rest of the current year on both Revenue and Capital projects.</w:t>
            </w:r>
          </w:p>
          <w:p w14:paraId="42D5506D" w14:textId="77777777" w:rsidR="005F6BB9" w:rsidRPr="00301D4F" w:rsidRDefault="005F6BB9" w:rsidP="005F6BB9">
            <w:pPr>
              <w:jc w:val="both"/>
              <w:rPr>
                <w:rFonts w:eastAsia="Times New Roman" w:cs="Arial"/>
                <w:color w:val="7030A0"/>
                <w:sz w:val="24"/>
                <w:szCs w:val="24"/>
                <w:highlight w:val="yellow"/>
              </w:rPr>
            </w:pPr>
          </w:p>
          <w:p w14:paraId="7E66E670" w14:textId="7B420AF6" w:rsidR="005F6BB9" w:rsidRPr="00301D4F" w:rsidRDefault="005F6BB9" w:rsidP="00ED1B5D">
            <w:pPr>
              <w:jc w:val="both"/>
              <w:rPr>
                <w:rFonts w:eastAsia="Times New Roman" w:cs="Arial"/>
                <w:sz w:val="24"/>
                <w:szCs w:val="24"/>
                <w:highlight w:val="yellow"/>
              </w:rPr>
            </w:pPr>
            <w:r w:rsidRPr="00313C53">
              <w:rPr>
                <w:rFonts w:eastAsia="Times New Roman" w:cs="Arial"/>
                <w:sz w:val="24"/>
                <w:szCs w:val="24"/>
              </w:rPr>
              <w:t>There is a</w:t>
            </w:r>
            <w:r w:rsidR="00E31694" w:rsidRPr="00313C53">
              <w:rPr>
                <w:rFonts w:eastAsia="Times New Roman" w:cs="Arial"/>
                <w:sz w:val="24"/>
                <w:szCs w:val="24"/>
              </w:rPr>
              <w:t>n</w:t>
            </w:r>
            <w:r w:rsidRPr="00313C53">
              <w:rPr>
                <w:rFonts w:eastAsia="Times New Roman" w:cs="Arial"/>
                <w:sz w:val="24"/>
                <w:szCs w:val="24"/>
              </w:rPr>
              <w:t xml:space="preserve"> </w:t>
            </w:r>
            <w:r w:rsidR="00E31694" w:rsidRPr="00313C53">
              <w:rPr>
                <w:rFonts w:eastAsia="Times New Roman" w:cs="Arial"/>
                <w:sz w:val="24"/>
                <w:szCs w:val="24"/>
              </w:rPr>
              <w:t xml:space="preserve">increase </w:t>
            </w:r>
            <w:r w:rsidRPr="00313C53">
              <w:rPr>
                <w:rFonts w:eastAsia="Times New Roman" w:cs="Arial"/>
                <w:sz w:val="24"/>
                <w:szCs w:val="24"/>
              </w:rPr>
              <w:t>in the interest receivable on the Authority’s cash investments of £</w:t>
            </w:r>
            <w:r w:rsidR="00387456" w:rsidRPr="00313C53">
              <w:rPr>
                <w:rFonts w:eastAsia="Times New Roman" w:cs="Arial"/>
                <w:sz w:val="24"/>
                <w:szCs w:val="24"/>
              </w:rPr>
              <w:t>1</w:t>
            </w:r>
            <w:r w:rsidR="00313C53" w:rsidRPr="00313C53">
              <w:rPr>
                <w:rFonts w:eastAsia="Times New Roman" w:cs="Arial"/>
                <w:sz w:val="24"/>
                <w:szCs w:val="24"/>
              </w:rPr>
              <w:t>7</w:t>
            </w:r>
            <w:r w:rsidRPr="00313C53">
              <w:rPr>
                <w:rFonts w:eastAsia="Times New Roman" w:cs="Arial"/>
                <w:sz w:val="24"/>
                <w:szCs w:val="24"/>
              </w:rPr>
              <w:t>,</w:t>
            </w:r>
            <w:r w:rsidR="00313C53" w:rsidRPr="00313C53">
              <w:rPr>
                <w:rFonts w:eastAsia="Times New Roman" w:cs="Arial"/>
                <w:sz w:val="24"/>
                <w:szCs w:val="24"/>
              </w:rPr>
              <w:t>290</w:t>
            </w:r>
            <w:r w:rsidRPr="00313C53">
              <w:rPr>
                <w:rFonts w:eastAsia="Times New Roman" w:cs="Arial"/>
                <w:sz w:val="24"/>
                <w:szCs w:val="24"/>
              </w:rPr>
              <w:t>,000 due to the Bank of England</w:t>
            </w:r>
            <w:r w:rsidR="00E31694" w:rsidRPr="00313C53">
              <w:rPr>
                <w:rFonts w:eastAsia="Times New Roman" w:cs="Arial"/>
                <w:sz w:val="24"/>
                <w:szCs w:val="24"/>
              </w:rPr>
              <w:t>’s increas</w:t>
            </w:r>
            <w:r w:rsidR="00996E34" w:rsidRPr="00313C53">
              <w:rPr>
                <w:rFonts w:eastAsia="Times New Roman" w:cs="Arial"/>
                <w:sz w:val="24"/>
                <w:szCs w:val="24"/>
              </w:rPr>
              <w:t>e in</w:t>
            </w:r>
            <w:r w:rsidR="00E31694" w:rsidRPr="00313C53">
              <w:rPr>
                <w:rFonts w:eastAsia="Times New Roman" w:cs="Arial"/>
                <w:sz w:val="24"/>
                <w:szCs w:val="24"/>
              </w:rPr>
              <w:t xml:space="preserve"> base rate</w:t>
            </w:r>
            <w:r w:rsidRPr="00313C53">
              <w:rPr>
                <w:rFonts w:eastAsia="Times New Roman" w:cs="Arial"/>
                <w:sz w:val="24"/>
                <w:szCs w:val="24"/>
              </w:rPr>
              <w:t xml:space="preserve">. </w:t>
            </w:r>
            <w:r w:rsidR="00ED1B5D" w:rsidRPr="00313C53">
              <w:rPr>
                <w:rFonts w:eastAsia="Times New Roman" w:cs="Arial"/>
                <w:sz w:val="24"/>
                <w:szCs w:val="24"/>
              </w:rPr>
              <w:t>I</w:t>
            </w:r>
            <w:r w:rsidRPr="00313C53">
              <w:rPr>
                <w:rFonts w:eastAsia="Times New Roman" w:cs="Arial"/>
                <w:sz w:val="24"/>
                <w:szCs w:val="24"/>
              </w:rPr>
              <w:t xml:space="preserve">nterest receivable is </w:t>
            </w:r>
            <w:r w:rsidRPr="00313C53">
              <w:rPr>
                <w:rFonts w:eastAsia="Times New Roman" w:cs="Arial"/>
                <w:sz w:val="24"/>
                <w:szCs w:val="24"/>
              </w:rPr>
              <w:lastRenderedPageBreak/>
              <w:t>projected at £</w:t>
            </w:r>
            <w:r w:rsidR="00313C53" w:rsidRPr="00313C53">
              <w:rPr>
                <w:rFonts w:eastAsia="Times New Roman" w:cs="Arial"/>
                <w:sz w:val="24"/>
                <w:szCs w:val="24"/>
              </w:rPr>
              <w:t>800</w:t>
            </w:r>
            <w:r w:rsidRPr="00313C53">
              <w:rPr>
                <w:rFonts w:eastAsia="Times New Roman" w:cs="Arial"/>
                <w:sz w:val="24"/>
                <w:szCs w:val="24"/>
              </w:rPr>
              <w:t>,000, resulting in a surplus of £</w:t>
            </w:r>
            <w:r w:rsidR="00313C53" w:rsidRPr="00313C53">
              <w:rPr>
                <w:rFonts w:eastAsia="Times New Roman" w:cs="Arial"/>
                <w:sz w:val="24"/>
                <w:szCs w:val="24"/>
              </w:rPr>
              <w:t>6</w:t>
            </w:r>
            <w:r w:rsidR="00452CB2" w:rsidRPr="00313C53">
              <w:rPr>
                <w:rFonts w:eastAsia="Times New Roman" w:cs="Arial"/>
                <w:sz w:val="24"/>
                <w:szCs w:val="24"/>
              </w:rPr>
              <w:t>50</w:t>
            </w:r>
            <w:r w:rsidRPr="00313C53">
              <w:rPr>
                <w:rFonts w:eastAsia="Times New Roman" w:cs="Arial"/>
                <w:sz w:val="24"/>
                <w:szCs w:val="24"/>
              </w:rPr>
              <w:t>,000 when compared to the budget. Interest payments on fixed rate loans of £</w:t>
            </w:r>
            <w:r w:rsidR="000A3D70" w:rsidRPr="00456221">
              <w:rPr>
                <w:rFonts w:eastAsia="Times New Roman" w:cs="Arial"/>
                <w:sz w:val="24"/>
                <w:szCs w:val="24"/>
              </w:rPr>
              <w:t>9</w:t>
            </w:r>
            <w:r w:rsidRPr="00456221">
              <w:rPr>
                <w:rFonts w:eastAsia="Times New Roman" w:cs="Arial"/>
                <w:sz w:val="24"/>
                <w:szCs w:val="24"/>
              </w:rPr>
              <w:t>,</w:t>
            </w:r>
            <w:r w:rsidR="000A3D70" w:rsidRPr="00456221">
              <w:rPr>
                <w:rFonts w:eastAsia="Times New Roman" w:cs="Arial"/>
                <w:sz w:val="24"/>
                <w:szCs w:val="24"/>
              </w:rPr>
              <w:t>817</w:t>
            </w:r>
            <w:r w:rsidRPr="00456221">
              <w:rPr>
                <w:rFonts w:eastAsia="Times New Roman" w:cs="Arial"/>
                <w:sz w:val="24"/>
                <w:szCs w:val="24"/>
              </w:rPr>
              <w:t>,000 are unaffected.</w:t>
            </w:r>
            <w:r w:rsidR="00736419" w:rsidRPr="00456221">
              <w:rPr>
                <w:rFonts w:eastAsia="Times New Roman" w:cs="Arial"/>
                <w:sz w:val="24"/>
                <w:szCs w:val="24"/>
              </w:rPr>
              <w:t xml:space="preserve">  Loans totalling £0.4m are due to be repaid this financial year.</w:t>
            </w:r>
            <w:r w:rsidRPr="00456221">
              <w:rPr>
                <w:rFonts w:eastAsia="Times New Roman" w:cs="Arial"/>
                <w:sz w:val="24"/>
                <w:szCs w:val="24"/>
              </w:rPr>
              <w:t xml:space="preserve">  </w:t>
            </w:r>
            <w:r w:rsidR="00E31694" w:rsidRPr="00456221">
              <w:rPr>
                <w:rFonts w:eastAsia="Times New Roman" w:cs="Arial"/>
                <w:sz w:val="24"/>
                <w:szCs w:val="24"/>
              </w:rPr>
              <w:t xml:space="preserve"> </w:t>
            </w:r>
          </w:p>
          <w:p w14:paraId="39820CD4" w14:textId="2A263643" w:rsidR="00AB0A42" w:rsidRPr="00301D4F" w:rsidRDefault="00AB0A42" w:rsidP="00AB0A42">
            <w:pPr>
              <w:jc w:val="both"/>
              <w:rPr>
                <w:rFonts w:eastAsia="Times New Roman" w:cs="Arial"/>
                <w:sz w:val="24"/>
                <w:szCs w:val="24"/>
                <w:highlight w:val="yellow"/>
              </w:rPr>
            </w:pPr>
          </w:p>
        </w:tc>
      </w:tr>
      <w:tr w:rsidR="005F6BB9" w:rsidRPr="00301D4F" w14:paraId="03C74EDC" w14:textId="77777777" w:rsidTr="00573DBD">
        <w:tc>
          <w:tcPr>
            <w:tcW w:w="2978" w:type="dxa"/>
            <w:tcBorders>
              <w:top w:val="single" w:sz="4" w:space="0" w:color="auto"/>
            </w:tcBorders>
          </w:tcPr>
          <w:p w14:paraId="41E3FDC2" w14:textId="77777777" w:rsidR="005F6BB9" w:rsidRPr="00301D4F" w:rsidRDefault="005F6BB9" w:rsidP="005F6BB9">
            <w:pPr>
              <w:rPr>
                <w:rFonts w:eastAsia="Times New Roman" w:cs="Arial"/>
                <w:b/>
                <w:sz w:val="24"/>
                <w:szCs w:val="24"/>
                <w:highlight w:val="yellow"/>
              </w:rPr>
            </w:pPr>
          </w:p>
        </w:tc>
        <w:tc>
          <w:tcPr>
            <w:tcW w:w="6661" w:type="dxa"/>
            <w:gridSpan w:val="5"/>
            <w:tcBorders>
              <w:top w:val="single" w:sz="4" w:space="0" w:color="auto"/>
            </w:tcBorders>
          </w:tcPr>
          <w:p w14:paraId="628AD983" w14:textId="77777777" w:rsidR="005F6BB9" w:rsidRPr="00301D4F" w:rsidRDefault="005F6BB9" w:rsidP="005F6BB9">
            <w:pPr>
              <w:rPr>
                <w:rFonts w:eastAsia="Times New Roman" w:cs="Arial"/>
                <w:sz w:val="24"/>
                <w:szCs w:val="24"/>
                <w:highlight w:val="yellow"/>
              </w:rPr>
            </w:pPr>
          </w:p>
        </w:tc>
      </w:tr>
      <w:tr w:rsidR="005F6BB9" w:rsidRPr="00301D4F" w14:paraId="4D4F297D" w14:textId="77777777" w:rsidTr="00573DBD">
        <w:tc>
          <w:tcPr>
            <w:tcW w:w="2978" w:type="dxa"/>
          </w:tcPr>
          <w:p w14:paraId="1029005A" w14:textId="46A64139" w:rsidR="005F6BB9" w:rsidRPr="00301D4F" w:rsidRDefault="005F6BB9" w:rsidP="005F6BB9">
            <w:pPr>
              <w:rPr>
                <w:rFonts w:eastAsia="Times New Roman" w:cs="Arial"/>
                <w:sz w:val="24"/>
                <w:szCs w:val="24"/>
                <w:highlight w:val="yellow"/>
              </w:rPr>
            </w:pPr>
            <w:r w:rsidRPr="00456221">
              <w:rPr>
                <w:rFonts w:eastAsia="Times New Roman" w:cs="Arial"/>
                <w:b/>
                <w:bCs/>
                <w:sz w:val="24"/>
                <w:szCs w:val="24"/>
              </w:rPr>
              <w:t>RECOMMENDATION</w:t>
            </w:r>
          </w:p>
        </w:tc>
        <w:tc>
          <w:tcPr>
            <w:tcW w:w="6661" w:type="dxa"/>
            <w:gridSpan w:val="5"/>
          </w:tcPr>
          <w:p w14:paraId="7A34B49E" w14:textId="1E230348" w:rsidR="005F6BB9" w:rsidRPr="00456221" w:rsidRDefault="00B42F63" w:rsidP="005F6BB9">
            <w:pPr>
              <w:jc w:val="both"/>
              <w:rPr>
                <w:rFonts w:eastAsia="Times New Roman" w:cs="Arial"/>
                <w:b/>
                <w:sz w:val="24"/>
                <w:szCs w:val="24"/>
              </w:rPr>
            </w:pPr>
            <w:r>
              <w:rPr>
                <w:rFonts w:eastAsia="Times New Roman" w:cs="Arial"/>
                <w:b/>
                <w:sz w:val="24"/>
                <w:szCs w:val="24"/>
              </w:rPr>
              <w:t>Panel</w:t>
            </w:r>
            <w:r w:rsidR="005F6BB9" w:rsidRPr="00456221">
              <w:rPr>
                <w:rFonts w:eastAsia="Times New Roman" w:cs="Arial"/>
                <w:b/>
                <w:sz w:val="24"/>
                <w:szCs w:val="24"/>
              </w:rPr>
              <w:t xml:space="preserve"> is recommended to note:</w:t>
            </w:r>
          </w:p>
          <w:p w14:paraId="5301FCEB" w14:textId="77777777" w:rsidR="005F6BB9" w:rsidRPr="00456221" w:rsidRDefault="005F6BB9" w:rsidP="005F6BB9">
            <w:pPr>
              <w:pStyle w:val="ListParagraph"/>
              <w:jc w:val="both"/>
              <w:rPr>
                <w:rFonts w:eastAsia="Times New Roman" w:cs="Arial"/>
                <w:sz w:val="24"/>
                <w:szCs w:val="24"/>
              </w:rPr>
            </w:pPr>
          </w:p>
          <w:p w14:paraId="0E50B664" w14:textId="18FECB8A" w:rsidR="005F6BB9" w:rsidRPr="00456221" w:rsidRDefault="005F6BB9" w:rsidP="005F6BB9">
            <w:pPr>
              <w:pStyle w:val="ListParagraph"/>
              <w:numPr>
                <w:ilvl w:val="0"/>
                <w:numId w:val="1"/>
              </w:numPr>
              <w:jc w:val="both"/>
              <w:rPr>
                <w:rFonts w:eastAsia="Times New Roman" w:cs="Arial"/>
                <w:sz w:val="24"/>
                <w:szCs w:val="24"/>
              </w:rPr>
            </w:pPr>
            <w:r w:rsidRPr="00456221">
              <w:rPr>
                <w:rFonts w:eastAsia="Times New Roman" w:cs="Arial"/>
                <w:sz w:val="24"/>
                <w:szCs w:val="24"/>
              </w:rPr>
              <w:t xml:space="preserve">the risks to Revenue Budget and the projected </w:t>
            </w:r>
            <w:r w:rsidR="00736419" w:rsidRPr="00456221">
              <w:rPr>
                <w:rFonts w:eastAsia="Times New Roman" w:cs="Arial"/>
                <w:sz w:val="24"/>
                <w:szCs w:val="24"/>
              </w:rPr>
              <w:t>underspend</w:t>
            </w:r>
            <w:r w:rsidRPr="00456221">
              <w:rPr>
                <w:rFonts w:eastAsia="Times New Roman" w:cs="Arial"/>
                <w:sz w:val="24"/>
                <w:szCs w:val="24"/>
              </w:rPr>
              <w:t>,</w:t>
            </w:r>
          </w:p>
          <w:p w14:paraId="4971C6D6" w14:textId="3D6EC100" w:rsidR="005F6BB9" w:rsidRPr="00456221" w:rsidRDefault="005F6BB9" w:rsidP="005F6BB9">
            <w:pPr>
              <w:pStyle w:val="ListParagraph"/>
              <w:numPr>
                <w:ilvl w:val="0"/>
                <w:numId w:val="1"/>
              </w:numPr>
              <w:jc w:val="both"/>
              <w:rPr>
                <w:rFonts w:eastAsia="Times New Roman" w:cs="Arial"/>
                <w:sz w:val="24"/>
                <w:szCs w:val="24"/>
              </w:rPr>
            </w:pPr>
            <w:r w:rsidRPr="00456221">
              <w:rPr>
                <w:rFonts w:eastAsia="Times New Roman" w:cs="Arial"/>
                <w:sz w:val="24"/>
                <w:szCs w:val="24"/>
              </w:rPr>
              <w:t xml:space="preserve">the </w:t>
            </w:r>
            <w:r w:rsidR="00736419" w:rsidRPr="00456221">
              <w:rPr>
                <w:rFonts w:eastAsia="Times New Roman" w:cs="Arial"/>
                <w:sz w:val="24"/>
                <w:szCs w:val="24"/>
              </w:rPr>
              <w:t xml:space="preserve">forecast slippage and </w:t>
            </w:r>
            <w:r w:rsidRPr="00456221">
              <w:rPr>
                <w:rFonts w:eastAsia="Times New Roman" w:cs="Arial"/>
                <w:sz w:val="24"/>
                <w:szCs w:val="24"/>
              </w:rPr>
              <w:t>risks to the Capital Programme,</w:t>
            </w:r>
          </w:p>
          <w:p w14:paraId="1EB84728" w14:textId="0796762F" w:rsidR="00342E56" w:rsidRPr="00456221" w:rsidRDefault="00342E56" w:rsidP="005F6BB9">
            <w:pPr>
              <w:pStyle w:val="ListParagraph"/>
              <w:numPr>
                <w:ilvl w:val="0"/>
                <w:numId w:val="1"/>
              </w:numPr>
              <w:jc w:val="both"/>
              <w:rPr>
                <w:rFonts w:eastAsia="Times New Roman" w:cs="Arial"/>
                <w:sz w:val="24"/>
                <w:szCs w:val="24"/>
              </w:rPr>
            </w:pPr>
            <w:r w:rsidRPr="00456221">
              <w:rPr>
                <w:rFonts w:eastAsia="Times New Roman" w:cs="Arial"/>
                <w:sz w:val="24"/>
                <w:szCs w:val="24"/>
              </w:rPr>
              <w:t>the ITG strategy position</w:t>
            </w:r>
          </w:p>
          <w:p w14:paraId="2CE5D589" w14:textId="33202E9F" w:rsidR="005F6BB9" w:rsidRPr="00456221" w:rsidRDefault="005F6BB9" w:rsidP="005F6BB9">
            <w:pPr>
              <w:pStyle w:val="ListParagraph"/>
              <w:numPr>
                <w:ilvl w:val="0"/>
                <w:numId w:val="1"/>
              </w:numPr>
              <w:jc w:val="both"/>
              <w:rPr>
                <w:rFonts w:eastAsia="Times New Roman" w:cs="Arial"/>
                <w:sz w:val="24"/>
                <w:szCs w:val="24"/>
              </w:rPr>
            </w:pPr>
            <w:r w:rsidRPr="00456221">
              <w:rPr>
                <w:rFonts w:eastAsia="Times New Roman" w:cs="Arial"/>
                <w:sz w:val="24"/>
                <w:szCs w:val="24"/>
              </w:rPr>
              <w:t xml:space="preserve">the </w:t>
            </w:r>
            <w:r w:rsidR="006E221C" w:rsidRPr="00456221">
              <w:rPr>
                <w:rFonts w:eastAsia="Times New Roman" w:cs="Arial"/>
                <w:sz w:val="24"/>
                <w:szCs w:val="24"/>
              </w:rPr>
              <w:t>reduced</w:t>
            </w:r>
            <w:r w:rsidRPr="00456221">
              <w:rPr>
                <w:rFonts w:eastAsia="Times New Roman" w:cs="Arial"/>
                <w:sz w:val="24"/>
                <w:szCs w:val="24"/>
              </w:rPr>
              <w:t xml:space="preserve"> net forecast drawdown from reserves,</w:t>
            </w:r>
          </w:p>
          <w:p w14:paraId="083DC1CA" w14:textId="77777777" w:rsidR="005F6BB9" w:rsidRPr="00456221" w:rsidRDefault="005F6BB9" w:rsidP="005F6BB9">
            <w:pPr>
              <w:pStyle w:val="ListParagraph"/>
              <w:numPr>
                <w:ilvl w:val="0"/>
                <w:numId w:val="1"/>
              </w:numPr>
              <w:jc w:val="both"/>
              <w:rPr>
                <w:rFonts w:eastAsia="Times New Roman" w:cs="Arial"/>
                <w:sz w:val="24"/>
                <w:szCs w:val="24"/>
              </w:rPr>
            </w:pPr>
            <w:r w:rsidRPr="00456221">
              <w:rPr>
                <w:rFonts w:eastAsia="Times New Roman" w:cs="Arial"/>
                <w:sz w:val="24"/>
                <w:szCs w:val="24"/>
              </w:rPr>
              <w:t>the grants available and spending plans,</w:t>
            </w:r>
          </w:p>
          <w:p w14:paraId="44400DC4" w14:textId="46B1DA25" w:rsidR="005F6BB9" w:rsidRPr="00456221" w:rsidRDefault="005F6BB9" w:rsidP="005F6BB9">
            <w:pPr>
              <w:pStyle w:val="ListParagraph"/>
              <w:numPr>
                <w:ilvl w:val="0"/>
                <w:numId w:val="1"/>
              </w:numPr>
              <w:jc w:val="both"/>
              <w:rPr>
                <w:rFonts w:eastAsia="Times New Roman" w:cs="Arial"/>
                <w:sz w:val="24"/>
                <w:szCs w:val="24"/>
              </w:rPr>
            </w:pPr>
            <w:r w:rsidRPr="00456221">
              <w:rPr>
                <w:rFonts w:eastAsia="Times New Roman" w:cs="Arial"/>
                <w:sz w:val="24"/>
                <w:szCs w:val="24"/>
              </w:rPr>
              <w:t>the monitoring of savings taken in 202</w:t>
            </w:r>
            <w:r w:rsidR="00B06496" w:rsidRPr="00456221">
              <w:rPr>
                <w:rFonts w:eastAsia="Times New Roman" w:cs="Arial"/>
                <w:sz w:val="24"/>
                <w:szCs w:val="24"/>
              </w:rPr>
              <w:t>3</w:t>
            </w:r>
            <w:r w:rsidRPr="00456221">
              <w:rPr>
                <w:rFonts w:eastAsia="Times New Roman" w:cs="Arial"/>
                <w:sz w:val="24"/>
                <w:szCs w:val="24"/>
              </w:rPr>
              <w:t>/2</w:t>
            </w:r>
            <w:r w:rsidR="00B06496" w:rsidRPr="00456221">
              <w:rPr>
                <w:rFonts w:eastAsia="Times New Roman" w:cs="Arial"/>
                <w:sz w:val="24"/>
                <w:szCs w:val="24"/>
              </w:rPr>
              <w:t>4</w:t>
            </w:r>
            <w:r w:rsidRPr="00456221">
              <w:rPr>
                <w:rFonts w:eastAsia="Times New Roman" w:cs="Arial"/>
                <w:sz w:val="24"/>
                <w:szCs w:val="24"/>
              </w:rPr>
              <w:t>; and</w:t>
            </w:r>
          </w:p>
          <w:p w14:paraId="5653A3B2" w14:textId="7054EFA9" w:rsidR="00344A58" w:rsidRPr="00456221" w:rsidRDefault="005F6BB9" w:rsidP="009366D4">
            <w:pPr>
              <w:pStyle w:val="ListParagraph"/>
              <w:numPr>
                <w:ilvl w:val="0"/>
                <w:numId w:val="1"/>
              </w:numPr>
              <w:jc w:val="both"/>
              <w:rPr>
                <w:rFonts w:eastAsia="Times New Roman" w:cs="Arial"/>
                <w:sz w:val="24"/>
                <w:szCs w:val="24"/>
              </w:rPr>
            </w:pPr>
            <w:r w:rsidRPr="00456221">
              <w:rPr>
                <w:rFonts w:eastAsia="Times New Roman" w:cs="Arial"/>
                <w:sz w:val="24"/>
                <w:szCs w:val="24"/>
              </w:rPr>
              <w:t>the current year investments and borrowing</w:t>
            </w:r>
            <w:r w:rsidR="00736419" w:rsidRPr="00456221">
              <w:rPr>
                <w:rFonts w:eastAsia="Times New Roman" w:cs="Arial"/>
                <w:sz w:val="24"/>
                <w:szCs w:val="24"/>
              </w:rPr>
              <w:t>.</w:t>
            </w:r>
            <w:r w:rsidR="005D3106" w:rsidRPr="00456221">
              <w:rPr>
                <w:rFonts w:eastAsia="Times New Roman" w:cs="Arial"/>
                <w:sz w:val="24"/>
                <w:szCs w:val="24"/>
              </w:rPr>
              <w:t xml:space="preserve"> </w:t>
            </w:r>
          </w:p>
          <w:p w14:paraId="73BA9D8C" w14:textId="203EE644" w:rsidR="00F23CEA" w:rsidRPr="00301D4F" w:rsidRDefault="00F23CEA" w:rsidP="00F23CEA">
            <w:pPr>
              <w:jc w:val="both"/>
              <w:rPr>
                <w:rFonts w:eastAsia="Times New Roman" w:cs="Arial"/>
                <w:sz w:val="24"/>
                <w:szCs w:val="24"/>
                <w:highlight w:val="yellow"/>
              </w:rPr>
            </w:pPr>
          </w:p>
          <w:p w14:paraId="0FFF398A" w14:textId="3AA4BDEB" w:rsidR="005F6BB9" w:rsidRPr="00456221" w:rsidRDefault="005F6BB9" w:rsidP="00456221">
            <w:pPr>
              <w:jc w:val="both"/>
              <w:rPr>
                <w:rFonts w:eastAsia="Times New Roman" w:cs="Arial"/>
                <w:sz w:val="24"/>
                <w:szCs w:val="24"/>
                <w:highlight w:val="yellow"/>
              </w:rPr>
            </w:pPr>
          </w:p>
        </w:tc>
      </w:tr>
      <w:tr w:rsidR="005F6BB9" w:rsidRPr="00301D4F" w14:paraId="54157FD1" w14:textId="77777777" w:rsidTr="00573DBD">
        <w:tc>
          <w:tcPr>
            <w:tcW w:w="2978" w:type="dxa"/>
            <w:tcBorders>
              <w:bottom w:val="single" w:sz="4" w:space="0" w:color="auto"/>
            </w:tcBorders>
          </w:tcPr>
          <w:p w14:paraId="70F78FC0" w14:textId="7320EF43" w:rsidR="005F6BB9" w:rsidRPr="00301D4F" w:rsidRDefault="005F6BB9" w:rsidP="005F6BB9">
            <w:pPr>
              <w:rPr>
                <w:rFonts w:eastAsia="Times New Roman" w:cs="Arial"/>
                <w:b/>
                <w:bCs/>
                <w:sz w:val="24"/>
                <w:szCs w:val="24"/>
                <w:highlight w:val="yellow"/>
              </w:rPr>
            </w:pPr>
          </w:p>
        </w:tc>
        <w:tc>
          <w:tcPr>
            <w:tcW w:w="6661" w:type="dxa"/>
            <w:gridSpan w:val="5"/>
            <w:tcBorders>
              <w:bottom w:val="single" w:sz="4" w:space="0" w:color="auto"/>
            </w:tcBorders>
          </w:tcPr>
          <w:p w14:paraId="6452B5CE" w14:textId="77777777" w:rsidR="005F6BB9" w:rsidRPr="00301D4F" w:rsidRDefault="005F6BB9" w:rsidP="005F6BB9">
            <w:pPr>
              <w:jc w:val="both"/>
              <w:rPr>
                <w:rFonts w:eastAsia="Times New Roman" w:cs="Arial"/>
                <w:b/>
                <w:sz w:val="24"/>
                <w:szCs w:val="24"/>
                <w:highlight w:val="yellow"/>
              </w:rPr>
            </w:pPr>
          </w:p>
        </w:tc>
      </w:tr>
    </w:tbl>
    <w:p w14:paraId="4BF0147E" w14:textId="6B0AAE3D" w:rsidR="00AA0505" w:rsidRPr="00301D4F" w:rsidRDefault="00AA0505">
      <w:pPr>
        <w:spacing w:line="276" w:lineRule="auto"/>
        <w:rPr>
          <w:highlight w:val="yellow"/>
        </w:rPr>
      </w:pPr>
    </w:p>
    <w:p w14:paraId="13CB514D" w14:textId="77777777" w:rsidR="00AF52AD" w:rsidRPr="00301D4F" w:rsidRDefault="00AF52AD">
      <w:pPr>
        <w:spacing w:line="276" w:lineRule="auto"/>
        <w:rPr>
          <w:highlight w:val="yellow"/>
        </w:rPr>
      </w:pPr>
    </w:p>
    <w:tbl>
      <w:tblPr>
        <w:tblW w:w="10065" w:type="dxa"/>
        <w:tblInd w:w="-318" w:type="dxa"/>
        <w:tblLayout w:type="fixed"/>
        <w:tblLook w:val="0000" w:firstRow="0" w:lastRow="0" w:firstColumn="0" w:lastColumn="0" w:noHBand="0" w:noVBand="0"/>
      </w:tblPr>
      <w:tblGrid>
        <w:gridCol w:w="815"/>
        <w:gridCol w:w="70"/>
        <w:gridCol w:w="8931"/>
        <w:gridCol w:w="249"/>
      </w:tblGrid>
      <w:tr w:rsidR="00592687" w:rsidRPr="00301D4F" w14:paraId="11767BD8" w14:textId="77777777" w:rsidTr="00BF65A0">
        <w:trPr>
          <w:gridAfter w:val="1"/>
          <w:wAfter w:w="249" w:type="dxa"/>
        </w:trPr>
        <w:tc>
          <w:tcPr>
            <w:tcW w:w="885" w:type="dxa"/>
            <w:gridSpan w:val="2"/>
          </w:tcPr>
          <w:p w14:paraId="6D4EB0DE" w14:textId="77777777" w:rsidR="00592687" w:rsidRPr="000677F0" w:rsidRDefault="00A71B0E" w:rsidP="00573DBD">
            <w:pPr>
              <w:rPr>
                <w:rFonts w:eastAsia="Times New Roman" w:cs="Arial"/>
                <w:b/>
                <w:sz w:val="24"/>
                <w:szCs w:val="24"/>
              </w:rPr>
            </w:pPr>
            <w:r w:rsidRPr="000677F0">
              <w:br w:type="page"/>
            </w:r>
            <w:r w:rsidR="00592687" w:rsidRPr="000677F0">
              <w:rPr>
                <w:rFonts w:eastAsia="Times New Roman" w:cs="Arial"/>
                <w:b/>
                <w:sz w:val="24"/>
                <w:szCs w:val="24"/>
              </w:rPr>
              <w:t>1.</w:t>
            </w:r>
          </w:p>
        </w:tc>
        <w:tc>
          <w:tcPr>
            <w:tcW w:w="8931" w:type="dxa"/>
          </w:tcPr>
          <w:p w14:paraId="7EE42543" w14:textId="77777777" w:rsidR="00592687" w:rsidRPr="000677F0" w:rsidRDefault="00592687" w:rsidP="00573DBD">
            <w:pPr>
              <w:rPr>
                <w:rFonts w:eastAsia="Times New Roman" w:cs="Arial"/>
                <w:sz w:val="24"/>
                <w:szCs w:val="24"/>
              </w:rPr>
            </w:pPr>
            <w:r w:rsidRPr="000677F0">
              <w:rPr>
                <w:rFonts w:eastAsia="Times New Roman" w:cs="Arial"/>
                <w:b/>
                <w:bCs/>
                <w:sz w:val="24"/>
                <w:szCs w:val="24"/>
                <w:u w:val="single"/>
              </w:rPr>
              <w:t>INTRODUCTION</w:t>
            </w:r>
          </w:p>
        </w:tc>
      </w:tr>
      <w:tr w:rsidR="00877290" w:rsidRPr="00301D4F" w14:paraId="110AE805" w14:textId="77777777" w:rsidTr="00BF65A0">
        <w:trPr>
          <w:gridAfter w:val="1"/>
          <w:wAfter w:w="249" w:type="dxa"/>
        </w:trPr>
        <w:tc>
          <w:tcPr>
            <w:tcW w:w="885" w:type="dxa"/>
            <w:gridSpan w:val="2"/>
          </w:tcPr>
          <w:p w14:paraId="0979D4BB" w14:textId="77777777" w:rsidR="00877290" w:rsidRPr="00301D4F" w:rsidRDefault="00877290" w:rsidP="00573DBD">
            <w:pPr>
              <w:rPr>
                <w:rFonts w:eastAsia="Times New Roman" w:cs="Arial"/>
                <w:sz w:val="24"/>
                <w:szCs w:val="24"/>
                <w:highlight w:val="yellow"/>
              </w:rPr>
            </w:pPr>
          </w:p>
        </w:tc>
        <w:tc>
          <w:tcPr>
            <w:tcW w:w="8931" w:type="dxa"/>
          </w:tcPr>
          <w:p w14:paraId="21E2B372" w14:textId="77777777" w:rsidR="00877290" w:rsidRPr="00301D4F" w:rsidRDefault="00877290" w:rsidP="00573DBD">
            <w:pPr>
              <w:rPr>
                <w:rFonts w:eastAsia="Times New Roman" w:cs="Arial"/>
                <w:sz w:val="24"/>
                <w:szCs w:val="24"/>
                <w:highlight w:val="yellow"/>
              </w:rPr>
            </w:pPr>
          </w:p>
        </w:tc>
      </w:tr>
      <w:tr w:rsidR="00877290" w:rsidRPr="00301D4F" w14:paraId="4CB64C58" w14:textId="77777777" w:rsidTr="00BF65A0">
        <w:trPr>
          <w:gridAfter w:val="1"/>
          <w:wAfter w:w="249" w:type="dxa"/>
        </w:trPr>
        <w:tc>
          <w:tcPr>
            <w:tcW w:w="885" w:type="dxa"/>
            <w:gridSpan w:val="2"/>
          </w:tcPr>
          <w:p w14:paraId="6A73C5DB" w14:textId="77777777" w:rsidR="00877290" w:rsidRPr="000677F0" w:rsidRDefault="00877290" w:rsidP="00573DBD">
            <w:pPr>
              <w:rPr>
                <w:rFonts w:eastAsia="Times New Roman" w:cs="Arial"/>
                <w:sz w:val="24"/>
                <w:szCs w:val="24"/>
              </w:rPr>
            </w:pPr>
            <w:r w:rsidRPr="000677F0">
              <w:rPr>
                <w:rFonts w:eastAsia="Times New Roman" w:cs="Arial"/>
                <w:sz w:val="24"/>
                <w:szCs w:val="24"/>
              </w:rPr>
              <w:t>1.</w:t>
            </w:r>
            <w:r w:rsidR="00592687" w:rsidRPr="000677F0">
              <w:rPr>
                <w:rFonts w:eastAsia="Times New Roman" w:cs="Arial"/>
                <w:sz w:val="24"/>
                <w:szCs w:val="24"/>
              </w:rPr>
              <w:t>1</w:t>
            </w:r>
          </w:p>
        </w:tc>
        <w:tc>
          <w:tcPr>
            <w:tcW w:w="8931" w:type="dxa"/>
          </w:tcPr>
          <w:p w14:paraId="767A4BAE" w14:textId="058B7484" w:rsidR="00877290" w:rsidRPr="000677F0" w:rsidRDefault="005F6BB9" w:rsidP="005F6BB9">
            <w:pPr>
              <w:rPr>
                <w:rFonts w:eastAsia="Times New Roman" w:cs="Arial"/>
                <w:sz w:val="24"/>
                <w:szCs w:val="24"/>
              </w:rPr>
            </w:pPr>
            <w:r w:rsidRPr="000677F0">
              <w:rPr>
                <w:rFonts w:eastAsia="Times New Roman" w:cs="Arial"/>
                <w:sz w:val="24"/>
                <w:szCs w:val="24"/>
              </w:rPr>
              <w:t>The Original Revenue Budget 202</w:t>
            </w:r>
            <w:r w:rsidR="0065239F" w:rsidRPr="000677F0">
              <w:rPr>
                <w:rFonts w:eastAsia="Times New Roman" w:cs="Arial"/>
                <w:sz w:val="24"/>
                <w:szCs w:val="24"/>
              </w:rPr>
              <w:t>3</w:t>
            </w:r>
            <w:r w:rsidRPr="000677F0">
              <w:rPr>
                <w:rFonts w:eastAsia="Times New Roman" w:cs="Arial"/>
                <w:sz w:val="24"/>
                <w:szCs w:val="24"/>
              </w:rPr>
              <w:t>/2</w:t>
            </w:r>
            <w:r w:rsidR="0065239F" w:rsidRPr="000677F0">
              <w:rPr>
                <w:rFonts w:eastAsia="Times New Roman" w:cs="Arial"/>
                <w:sz w:val="24"/>
                <w:szCs w:val="24"/>
              </w:rPr>
              <w:t>4</w:t>
            </w:r>
            <w:r w:rsidRPr="000677F0">
              <w:rPr>
                <w:rFonts w:eastAsia="Times New Roman" w:cs="Arial"/>
                <w:sz w:val="24"/>
                <w:szCs w:val="24"/>
              </w:rPr>
              <w:t xml:space="preserve"> and Capital Strategy 202</w:t>
            </w:r>
            <w:r w:rsidR="0065239F" w:rsidRPr="000677F0">
              <w:rPr>
                <w:rFonts w:eastAsia="Times New Roman" w:cs="Arial"/>
                <w:sz w:val="24"/>
                <w:szCs w:val="24"/>
              </w:rPr>
              <w:t>3</w:t>
            </w:r>
            <w:r w:rsidRPr="000677F0">
              <w:rPr>
                <w:rFonts w:eastAsia="Times New Roman" w:cs="Arial"/>
                <w:sz w:val="24"/>
                <w:szCs w:val="24"/>
              </w:rPr>
              <w:t>/2</w:t>
            </w:r>
            <w:r w:rsidR="0065239F" w:rsidRPr="000677F0">
              <w:rPr>
                <w:rFonts w:eastAsia="Times New Roman" w:cs="Arial"/>
                <w:sz w:val="24"/>
                <w:szCs w:val="24"/>
              </w:rPr>
              <w:t>4</w:t>
            </w:r>
            <w:r w:rsidRPr="000677F0">
              <w:rPr>
                <w:rFonts w:eastAsia="Times New Roman" w:cs="Arial"/>
                <w:sz w:val="24"/>
                <w:szCs w:val="24"/>
              </w:rPr>
              <w:t xml:space="preserve"> to 202</w:t>
            </w:r>
            <w:r w:rsidR="0065239F" w:rsidRPr="000677F0">
              <w:rPr>
                <w:rFonts w:eastAsia="Times New Roman" w:cs="Arial"/>
                <w:sz w:val="24"/>
                <w:szCs w:val="24"/>
              </w:rPr>
              <w:t>7</w:t>
            </w:r>
            <w:r w:rsidRPr="000677F0">
              <w:rPr>
                <w:rFonts w:eastAsia="Times New Roman" w:cs="Arial"/>
                <w:sz w:val="24"/>
                <w:szCs w:val="24"/>
              </w:rPr>
              <w:t>/2</w:t>
            </w:r>
            <w:r w:rsidR="0065239F" w:rsidRPr="000677F0">
              <w:rPr>
                <w:rFonts w:eastAsia="Times New Roman" w:cs="Arial"/>
                <w:sz w:val="24"/>
                <w:szCs w:val="24"/>
              </w:rPr>
              <w:t>8</w:t>
            </w:r>
            <w:r w:rsidRPr="000677F0">
              <w:rPr>
                <w:rFonts w:eastAsia="Times New Roman" w:cs="Arial"/>
                <w:sz w:val="24"/>
                <w:szCs w:val="24"/>
              </w:rPr>
              <w:t xml:space="preserve"> was approved at the meeting of the Fire Authority on </w:t>
            </w:r>
            <w:r w:rsidR="00A6658D" w:rsidRPr="000677F0">
              <w:rPr>
                <w:rFonts w:eastAsia="Times New Roman" w:cs="Arial"/>
                <w:sz w:val="24"/>
                <w:szCs w:val="24"/>
              </w:rPr>
              <w:t xml:space="preserve">9 </w:t>
            </w:r>
            <w:r w:rsidRPr="000677F0">
              <w:rPr>
                <w:rFonts w:eastAsia="Times New Roman" w:cs="Arial"/>
                <w:sz w:val="24"/>
                <w:szCs w:val="24"/>
              </w:rPr>
              <w:t>February 202</w:t>
            </w:r>
            <w:r w:rsidR="0065239F" w:rsidRPr="000677F0">
              <w:rPr>
                <w:rFonts w:eastAsia="Times New Roman" w:cs="Arial"/>
                <w:sz w:val="24"/>
                <w:szCs w:val="24"/>
              </w:rPr>
              <w:t>3</w:t>
            </w:r>
            <w:r w:rsidRPr="000677F0">
              <w:rPr>
                <w:rFonts w:eastAsia="Times New Roman" w:cs="Arial"/>
                <w:sz w:val="24"/>
                <w:szCs w:val="24"/>
              </w:rPr>
              <w:t>.</w:t>
            </w:r>
            <w:r w:rsidRPr="000677F0">
              <w:rPr>
                <w:rFonts w:eastAsiaTheme="minorHAnsi" w:cs="Arial"/>
                <w:color w:val="000000"/>
                <w:sz w:val="24"/>
                <w:szCs w:val="24"/>
              </w:rPr>
              <w:t xml:space="preserve"> </w:t>
            </w:r>
          </w:p>
        </w:tc>
      </w:tr>
      <w:tr w:rsidR="00877290" w:rsidRPr="00301D4F" w14:paraId="7CE51B06" w14:textId="77777777" w:rsidTr="00BF65A0">
        <w:trPr>
          <w:gridAfter w:val="1"/>
          <w:wAfter w:w="249" w:type="dxa"/>
        </w:trPr>
        <w:tc>
          <w:tcPr>
            <w:tcW w:w="885" w:type="dxa"/>
            <w:gridSpan w:val="2"/>
          </w:tcPr>
          <w:p w14:paraId="089BA8CF" w14:textId="77777777" w:rsidR="00877290" w:rsidRPr="00301D4F" w:rsidRDefault="00877290" w:rsidP="00573DBD">
            <w:pPr>
              <w:rPr>
                <w:rFonts w:eastAsia="Times New Roman" w:cs="Arial"/>
                <w:sz w:val="24"/>
                <w:szCs w:val="24"/>
                <w:highlight w:val="yellow"/>
              </w:rPr>
            </w:pPr>
          </w:p>
        </w:tc>
        <w:tc>
          <w:tcPr>
            <w:tcW w:w="8931" w:type="dxa"/>
          </w:tcPr>
          <w:p w14:paraId="56A7C2B2" w14:textId="77777777" w:rsidR="00877290" w:rsidRPr="00301D4F" w:rsidRDefault="00877290" w:rsidP="00573DBD">
            <w:pPr>
              <w:jc w:val="both"/>
              <w:rPr>
                <w:rFonts w:eastAsia="Times New Roman" w:cs="Arial"/>
                <w:sz w:val="24"/>
                <w:szCs w:val="24"/>
                <w:highlight w:val="yellow"/>
              </w:rPr>
            </w:pPr>
          </w:p>
        </w:tc>
      </w:tr>
      <w:tr w:rsidR="00877290" w:rsidRPr="00301D4F" w14:paraId="34E4EDFA" w14:textId="77777777" w:rsidTr="00BF65A0">
        <w:trPr>
          <w:gridAfter w:val="1"/>
          <w:wAfter w:w="249" w:type="dxa"/>
        </w:trPr>
        <w:tc>
          <w:tcPr>
            <w:tcW w:w="885" w:type="dxa"/>
            <w:gridSpan w:val="2"/>
          </w:tcPr>
          <w:p w14:paraId="7C4AB8C0" w14:textId="77777777" w:rsidR="00877290" w:rsidRPr="00636695" w:rsidRDefault="00592687" w:rsidP="00573DBD">
            <w:pPr>
              <w:rPr>
                <w:rFonts w:eastAsia="Times New Roman" w:cs="Arial"/>
                <w:sz w:val="24"/>
                <w:szCs w:val="24"/>
              </w:rPr>
            </w:pPr>
            <w:r w:rsidRPr="00636695">
              <w:rPr>
                <w:rFonts w:eastAsia="Times New Roman" w:cs="Arial"/>
                <w:sz w:val="24"/>
                <w:szCs w:val="24"/>
              </w:rPr>
              <w:t>1.2</w:t>
            </w:r>
          </w:p>
        </w:tc>
        <w:tc>
          <w:tcPr>
            <w:tcW w:w="8931" w:type="dxa"/>
          </w:tcPr>
          <w:p w14:paraId="0493BEB8" w14:textId="5F87088A" w:rsidR="00877290" w:rsidRPr="00636695" w:rsidRDefault="005F6BB9" w:rsidP="00573DBD">
            <w:pPr>
              <w:jc w:val="both"/>
              <w:rPr>
                <w:rFonts w:eastAsia="Times New Roman" w:cs="Arial"/>
                <w:spacing w:val="-2"/>
                <w:sz w:val="24"/>
                <w:szCs w:val="24"/>
              </w:rPr>
            </w:pPr>
            <w:r w:rsidRPr="00636695">
              <w:rPr>
                <w:rFonts w:eastAsia="Times New Roman" w:cs="Arial"/>
                <w:sz w:val="24"/>
                <w:szCs w:val="24"/>
              </w:rPr>
              <w:t xml:space="preserve">This is the </w:t>
            </w:r>
            <w:r w:rsidR="00636695" w:rsidRPr="00636695">
              <w:rPr>
                <w:rFonts w:eastAsia="Times New Roman" w:cs="Arial"/>
                <w:sz w:val="24"/>
                <w:szCs w:val="24"/>
              </w:rPr>
              <w:t>fourth</w:t>
            </w:r>
            <w:r w:rsidR="003A7D6C" w:rsidRPr="00636695">
              <w:rPr>
                <w:rFonts w:eastAsia="Times New Roman" w:cs="Arial"/>
                <w:sz w:val="24"/>
                <w:szCs w:val="24"/>
              </w:rPr>
              <w:t xml:space="preserve"> </w:t>
            </w:r>
            <w:r w:rsidRPr="00636695">
              <w:rPr>
                <w:rFonts w:eastAsia="Times New Roman" w:cs="Arial"/>
                <w:sz w:val="24"/>
                <w:szCs w:val="24"/>
              </w:rPr>
              <w:t xml:space="preserve">report to </w:t>
            </w:r>
            <w:r w:rsidR="00B42F63">
              <w:rPr>
                <w:rFonts w:eastAsia="Times New Roman" w:cs="Arial"/>
                <w:sz w:val="24"/>
                <w:szCs w:val="24"/>
              </w:rPr>
              <w:t>Members</w:t>
            </w:r>
            <w:r w:rsidRPr="00636695">
              <w:rPr>
                <w:rFonts w:eastAsia="Times New Roman" w:cs="Arial"/>
                <w:sz w:val="24"/>
                <w:szCs w:val="24"/>
              </w:rPr>
              <w:t xml:space="preserve"> for the 202</w:t>
            </w:r>
            <w:r w:rsidR="00A6658D" w:rsidRPr="00636695">
              <w:rPr>
                <w:rFonts w:eastAsia="Times New Roman" w:cs="Arial"/>
                <w:sz w:val="24"/>
                <w:szCs w:val="24"/>
              </w:rPr>
              <w:t>3</w:t>
            </w:r>
            <w:r w:rsidRPr="00636695">
              <w:rPr>
                <w:rFonts w:eastAsia="Times New Roman" w:cs="Arial"/>
                <w:sz w:val="24"/>
                <w:szCs w:val="24"/>
              </w:rPr>
              <w:t>/2</w:t>
            </w:r>
            <w:r w:rsidR="00A6658D" w:rsidRPr="00636695">
              <w:rPr>
                <w:rFonts w:eastAsia="Times New Roman" w:cs="Arial"/>
                <w:sz w:val="24"/>
                <w:szCs w:val="24"/>
              </w:rPr>
              <w:t>4</w:t>
            </w:r>
            <w:r w:rsidRPr="00636695">
              <w:rPr>
                <w:rFonts w:eastAsia="Times New Roman" w:cs="Arial"/>
                <w:sz w:val="24"/>
                <w:szCs w:val="24"/>
              </w:rPr>
              <w:t xml:space="preserve"> financial year and highlights the findings </w:t>
            </w:r>
            <w:r w:rsidRPr="00636695">
              <w:rPr>
                <w:rFonts w:eastAsia="Times New Roman" w:cs="Arial"/>
                <w:spacing w:val="-2"/>
                <w:sz w:val="24"/>
                <w:szCs w:val="24"/>
              </w:rPr>
              <w:t xml:space="preserve">from Month </w:t>
            </w:r>
            <w:r w:rsidR="00636695" w:rsidRPr="00636695">
              <w:rPr>
                <w:rFonts w:eastAsia="Times New Roman" w:cs="Arial"/>
                <w:spacing w:val="-2"/>
                <w:sz w:val="24"/>
                <w:szCs w:val="24"/>
              </w:rPr>
              <w:t>8</w:t>
            </w:r>
            <w:r w:rsidRPr="00636695">
              <w:rPr>
                <w:rFonts w:eastAsia="Times New Roman" w:cs="Arial"/>
                <w:spacing w:val="-2"/>
                <w:sz w:val="24"/>
                <w:szCs w:val="24"/>
              </w:rPr>
              <w:t xml:space="preserve"> (end</w:t>
            </w:r>
            <w:r w:rsidR="007A141B" w:rsidRPr="00636695">
              <w:rPr>
                <w:rFonts w:eastAsia="Times New Roman" w:cs="Arial"/>
                <w:spacing w:val="-2"/>
                <w:sz w:val="24"/>
                <w:szCs w:val="24"/>
              </w:rPr>
              <w:t xml:space="preserve"> </w:t>
            </w:r>
            <w:r w:rsidR="00636695" w:rsidRPr="00636695">
              <w:rPr>
                <w:rFonts w:eastAsia="Times New Roman" w:cs="Arial"/>
                <w:spacing w:val="-2"/>
                <w:sz w:val="24"/>
                <w:szCs w:val="24"/>
              </w:rPr>
              <w:t>November</w:t>
            </w:r>
            <w:r w:rsidRPr="00636695">
              <w:rPr>
                <w:rFonts w:eastAsia="Times New Roman" w:cs="Arial"/>
                <w:spacing w:val="-2"/>
                <w:sz w:val="24"/>
                <w:szCs w:val="24"/>
              </w:rPr>
              <w:t>) monitoring undertaken on the Revenue and Capital Budget 202</w:t>
            </w:r>
            <w:r w:rsidR="00A6658D" w:rsidRPr="00636695">
              <w:rPr>
                <w:rFonts w:eastAsia="Times New Roman" w:cs="Arial"/>
                <w:spacing w:val="-2"/>
                <w:sz w:val="24"/>
                <w:szCs w:val="24"/>
              </w:rPr>
              <w:t>3</w:t>
            </w:r>
            <w:r w:rsidRPr="00636695">
              <w:rPr>
                <w:rFonts w:eastAsia="Times New Roman" w:cs="Arial"/>
                <w:spacing w:val="-2"/>
                <w:sz w:val="24"/>
                <w:szCs w:val="24"/>
              </w:rPr>
              <w:t>/2</w:t>
            </w:r>
            <w:r w:rsidR="00A6658D" w:rsidRPr="00636695">
              <w:rPr>
                <w:rFonts w:eastAsia="Times New Roman" w:cs="Arial"/>
                <w:spacing w:val="-2"/>
                <w:sz w:val="24"/>
                <w:szCs w:val="24"/>
              </w:rPr>
              <w:t>4</w:t>
            </w:r>
            <w:r w:rsidRPr="00636695">
              <w:rPr>
                <w:rFonts w:eastAsia="Times New Roman" w:cs="Arial"/>
                <w:spacing w:val="-2"/>
                <w:sz w:val="24"/>
                <w:szCs w:val="24"/>
              </w:rPr>
              <w:t xml:space="preserve"> and Capital Programme 202</w:t>
            </w:r>
            <w:r w:rsidR="00A6658D" w:rsidRPr="00636695">
              <w:rPr>
                <w:rFonts w:eastAsia="Times New Roman" w:cs="Arial"/>
                <w:spacing w:val="-2"/>
                <w:sz w:val="24"/>
                <w:szCs w:val="24"/>
              </w:rPr>
              <w:t>3</w:t>
            </w:r>
            <w:r w:rsidRPr="00636695">
              <w:rPr>
                <w:rFonts w:eastAsia="Times New Roman" w:cs="Arial"/>
                <w:spacing w:val="-2"/>
                <w:sz w:val="24"/>
                <w:szCs w:val="24"/>
              </w:rPr>
              <w:t>/2</w:t>
            </w:r>
            <w:r w:rsidR="00A6658D" w:rsidRPr="00636695">
              <w:rPr>
                <w:rFonts w:eastAsia="Times New Roman" w:cs="Arial"/>
                <w:spacing w:val="-2"/>
                <w:sz w:val="24"/>
                <w:szCs w:val="24"/>
              </w:rPr>
              <w:t>4</w:t>
            </w:r>
            <w:r w:rsidRPr="00636695">
              <w:rPr>
                <w:rFonts w:eastAsia="Times New Roman" w:cs="Arial"/>
                <w:spacing w:val="-2"/>
                <w:sz w:val="24"/>
                <w:szCs w:val="24"/>
              </w:rPr>
              <w:t xml:space="preserve"> to 202</w:t>
            </w:r>
            <w:r w:rsidR="00A6658D" w:rsidRPr="00636695">
              <w:rPr>
                <w:rFonts w:eastAsia="Times New Roman" w:cs="Arial"/>
                <w:spacing w:val="-2"/>
                <w:sz w:val="24"/>
                <w:szCs w:val="24"/>
              </w:rPr>
              <w:t>7</w:t>
            </w:r>
            <w:r w:rsidRPr="00636695">
              <w:rPr>
                <w:rFonts w:eastAsia="Times New Roman" w:cs="Arial"/>
                <w:spacing w:val="-2"/>
                <w:sz w:val="24"/>
                <w:szCs w:val="24"/>
              </w:rPr>
              <w:t>/2</w:t>
            </w:r>
            <w:r w:rsidR="00A6658D" w:rsidRPr="00636695">
              <w:rPr>
                <w:rFonts w:eastAsia="Times New Roman" w:cs="Arial"/>
                <w:spacing w:val="-2"/>
                <w:sz w:val="24"/>
                <w:szCs w:val="24"/>
              </w:rPr>
              <w:t>8</w:t>
            </w:r>
            <w:r w:rsidRPr="00636695">
              <w:rPr>
                <w:rFonts w:eastAsia="Times New Roman" w:cs="Arial"/>
                <w:spacing w:val="-2"/>
                <w:sz w:val="24"/>
                <w:szCs w:val="24"/>
              </w:rPr>
              <w:t>. It should be noted the review is based on currently available information and the result may change as new information emerges during the year.</w:t>
            </w:r>
          </w:p>
          <w:p w14:paraId="49C95F4B" w14:textId="77777777" w:rsidR="00890F39" w:rsidRPr="00636695" w:rsidRDefault="00890F39" w:rsidP="00573DBD">
            <w:pPr>
              <w:jc w:val="both"/>
              <w:rPr>
                <w:rFonts w:eastAsia="Times New Roman" w:cs="Arial"/>
                <w:spacing w:val="-2"/>
                <w:sz w:val="24"/>
                <w:szCs w:val="24"/>
              </w:rPr>
            </w:pPr>
          </w:p>
          <w:p w14:paraId="599E9C74" w14:textId="4468D3D7" w:rsidR="005F6BB9" w:rsidRPr="00636695" w:rsidRDefault="005F6BB9" w:rsidP="00573DBD">
            <w:pPr>
              <w:jc w:val="both"/>
              <w:rPr>
                <w:rFonts w:eastAsia="Times New Roman" w:cs="Arial"/>
                <w:sz w:val="24"/>
                <w:szCs w:val="24"/>
              </w:rPr>
            </w:pPr>
          </w:p>
        </w:tc>
      </w:tr>
      <w:tr w:rsidR="00877290" w:rsidRPr="00301D4F" w14:paraId="339BEBBA" w14:textId="77777777" w:rsidTr="00BF65A0">
        <w:trPr>
          <w:gridAfter w:val="1"/>
          <w:wAfter w:w="249" w:type="dxa"/>
        </w:trPr>
        <w:tc>
          <w:tcPr>
            <w:tcW w:w="885" w:type="dxa"/>
            <w:gridSpan w:val="2"/>
          </w:tcPr>
          <w:p w14:paraId="4D8A4F82" w14:textId="77777777" w:rsidR="00877290" w:rsidRPr="00301D4F" w:rsidRDefault="00877290" w:rsidP="00573DBD">
            <w:pPr>
              <w:rPr>
                <w:rFonts w:eastAsia="Times New Roman" w:cs="Arial"/>
                <w:sz w:val="24"/>
                <w:szCs w:val="24"/>
                <w:highlight w:val="yellow"/>
              </w:rPr>
            </w:pPr>
          </w:p>
        </w:tc>
        <w:tc>
          <w:tcPr>
            <w:tcW w:w="8931" w:type="dxa"/>
          </w:tcPr>
          <w:tbl>
            <w:tblPr>
              <w:tblW w:w="8070" w:type="dxa"/>
              <w:jc w:val="center"/>
              <w:tblLayout w:type="fixed"/>
              <w:tblLook w:val="04A0" w:firstRow="1" w:lastRow="0" w:firstColumn="1" w:lastColumn="0" w:noHBand="0" w:noVBand="1"/>
            </w:tblPr>
            <w:tblGrid>
              <w:gridCol w:w="3392"/>
              <w:gridCol w:w="1843"/>
              <w:gridCol w:w="1418"/>
              <w:gridCol w:w="1417"/>
            </w:tblGrid>
            <w:tr w:rsidR="005F6BB9" w:rsidRPr="00993FB4" w14:paraId="09ABAB16" w14:textId="77777777" w:rsidTr="00573DBD">
              <w:trPr>
                <w:trHeight w:val="600"/>
                <w:jc w:val="center"/>
              </w:trPr>
              <w:tc>
                <w:tcPr>
                  <w:tcW w:w="3392" w:type="dxa"/>
                  <w:tcBorders>
                    <w:top w:val="single" w:sz="8" w:space="0" w:color="auto"/>
                    <w:left w:val="single" w:sz="8" w:space="0" w:color="auto"/>
                    <w:bottom w:val="nil"/>
                    <w:right w:val="nil"/>
                  </w:tcBorders>
                  <w:shd w:val="clear" w:color="auto" w:fill="auto"/>
                  <w:tcMar>
                    <w:top w:w="57" w:type="dxa"/>
                    <w:left w:w="57" w:type="dxa"/>
                    <w:bottom w:w="57" w:type="dxa"/>
                    <w:right w:w="57" w:type="dxa"/>
                  </w:tcMar>
                  <w:hideMark/>
                </w:tcPr>
                <w:p w14:paraId="57C97C0A" w14:textId="77777777" w:rsidR="005F6BB9" w:rsidRPr="00993FB4" w:rsidRDefault="005F6BB9" w:rsidP="005F6BB9">
                  <w:pPr>
                    <w:rPr>
                      <w:rFonts w:eastAsia="Times New Roman" w:cs="Arial"/>
                      <w:color w:val="000000"/>
                      <w:sz w:val="24"/>
                      <w:szCs w:val="24"/>
                      <w:lang w:eastAsia="en-GB"/>
                    </w:rPr>
                  </w:pPr>
                  <w:r w:rsidRPr="00993FB4">
                    <w:rPr>
                      <w:rFonts w:eastAsia="Times New Roman" w:cs="Arial"/>
                      <w:color w:val="000000"/>
                      <w:sz w:val="24"/>
                      <w:szCs w:val="24"/>
                      <w:lang w:eastAsia="en-GB"/>
                    </w:rPr>
                    <w:t> </w:t>
                  </w:r>
                </w:p>
              </w:tc>
              <w:tc>
                <w:tcPr>
                  <w:tcW w:w="1843" w:type="dxa"/>
                  <w:tcBorders>
                    <w:top w:val="single" w:sz="8" w:space="0" w:color="auto"/>
                    <w:left w:val="single" w:sz="8" w:space="0" w:color="auto"/>
                    <w:bottom w:val="nil"/>
                    <w:right w:val="single" w:sz="8" w:space="0" w:color="auto"/>
                  </w:tcBorders>
                  <w:shd w:val="clear" w:color="auto" w:fill="auto"/>
                  <w:tcMar>
                    <w:top w:w="57" w:type="dxa"/>
                    <w:left w:w="57" w:type="dxa"/>
                    <w:bottom w:w="57" w:type="dxa"/>
                    <w:right w:w="57" w:type="dxa"/>
                  </w:tcMar>
                  <w:hideMark/>
                </w:tcPr>
                <w:p w14:paraId="67A85E47" w14:textId="3D24C4D4" w:rsidR="005F6BB9" w:rsidRPr="00993FB4" w:rsidRDefault="005F6BB9" w:rsidP="005F6BB9">
                  <w:pPr>
                    <w:jc w:val="center"/>
                    <w:rPr>
                      <w:rFonts w:eastAsia="Times New Roman" w:cs="Arial"/>
                      <w:b/>
                      <w:bCs/>
                      <w:color w:val="000000"/>
                      <w:sz w:val="24"/>
                      <w:szCs w:val="24"/>
                      <w:lang w:eastAsia="en-GB"/>
                    </w:rPr>
                  </w:pPr>
                  <w:r w:rsidRPr="00993FB4">
                    <w:rPr>
                      <w:rFonts w:eastAsia="Times New Roman" w:cs="Arial"/>
                      <w:b/>
                      <w:bCs/>
                      <w:color w:val="000000"/>
                      <w:sz w:val="24"/>
                      <w:szCs w:val="24"/>
                      <w:lang w:eastAsia="en-GB"/>
                    </w:rPr>
                    <w:t xml:space="preserve">This </w:t>
                  </w:r>
                  <w:r w:rsidR="00B42F63">
                    <w:rPr>
                      <w:rFonts w:eastAsia="Times New Roman" w:cs="Arial"/>
                      <w:b/>
                      <w:bCs/>
                      <w:color w:val="000000"/>
                      <w:sz w:val="24"/>
                      <w:szCs w:val="24"/>
                      <w:lang w:eastAsia="en-GB"/>
                    </w:rPr>
                    <w:t>P&amp;R</w:t>
                  </w:r>
                </w:p>
                <w:p w14:paraId="4135B10B" w14:textId="2C869A98" w:rsidR="005F6BB9" w:rsidRPr="00993FB4" w:rsidRDefault="005F6BB9" w:rsidP="005F6BB9">
                  <w:pPr>
                    <w:jc w:val="center"/>
                    <w:rPr>
                      <w:rFonts w:eastAsia="Times New Roman" w:cs="Arial"/>
                      <w:b/>
                      <w:bCs/>
                      <w:color w:val="000000"/>
                      <w:sz w:val="24"/>
                      <w:szCs w:val="24"/>
                      <w:lang w:eastAsia="en-GB"/>
                    </w:rPr>
                  </w:pPr>
                  <w:r w:rsidRPr="00993FB4">
                    <w:rPr>
                      <w:rFonts w:eastAsia="Times New Roman" w:cs="Arial"/>
                      <w:b/>
                      <w:bCs/>
                      <w:color w:val="000000"/>
                      <w:sz w:val="24"/>
                      <w:szCs w:val="24"/>
                      <w:lang w:eastAsia="en-GB"/>
                    </w:rPr>
                    <w:t xml:space="preserve">(Month </w:t>
                  </w:r>
                  <w:r w:rsidR="00B42C0C" w:rsidRPr="00993FB4">
                    <w:rPr>
                      <w:rFonts w:eastAsia="Times New Roman" w:cs="Arial"/>
                      <w:b/>
                      <w:bCs/>
                      <w:color w:val="000000"/>
                      <w:sz w:val="24"/>
                      <w:szCs w:val="24"/>
                      <w:lang w:eastAsia="en-GB"/>
                    </w:rPr>
                    <w:t>8</w:t>
                  </w:r>
                  <w:r w:rsidRPr="00993FB4">
                    <w:rPr>
                      <w:rFonts w:eastAsia="Times New Roman" w:cs="Arial"/>
                      <w:b/>
                      <w:bCs/>
                      <w:color w:val="000000"/>
                      <w:sz w:val="24"/>
                      <w:szCs w:val="24"/>
                      <w:lang w:eastAsia="en-GB"/>
                    </w:rPr>
                    <w:t>)</w:t>
                  </w:r>
                </w:p>
              </w:tc>
              <w:tc>
                <w:tcPr>
                  <w:tcW w:w="1418" w:type="dxa"/>
                  <w:tcBorders>
                    <w:top w:val="single" w:sz="8" w:space="0" w:color="auto"/>
                    <w:left w:val="nil"/>
                    <w:bottom w:val="nil"/>
                    <w:right w:val="single" w:sz="8" w:space="0" w:color="auto"/>
                  </w:tcBorders>
                  <w:shd w:val="clear" w:color="auto" w:fill="auto"/>
                  <w:tcMar>
                    <w:top w:w="57" w:type="dxa"/>
                    <w:left w:w="57" w:type="dxa"/>
                    <w:bottom w:w="57" w:type="dxa"/>
                    <w:right w:w="57" w:type="dxa"/>
                  </w:tcMar>
                  <w:hideMark/>
                </w:tcPr>
                <w:p w14:paraId="43D5D860" w14:textId="301CC480" w:rsidR="005F6BB9" w:rsidRPr="00993FB4" w:rsidRDefault="005F6BB9" w:rsidP="005F6BB9">
                  <w:pPr>
                    <w:jc w:val="center"/>
                    <w:rPr>
                      <w:rFonts w:eastAsia="Times New Roman" w:cs="Arial"/>
                      <w:b/>
                      <w:bCs/>
                      <w:color w:val="000000"/>
                      <w:sz w:val="24"/>
                      <w:szCs w:val="24"/>
                      <w:lang w:eastAsia="en-GB"/>
                    </w:rPr>
                  </w:pPr>
                  <w:r w:rsidRPr="00993FB4">
                    <w:rPr>
                      <w:rFonts w:eastAsia="Times New Roman" w:cs="Arial"/>
                      <w:b/>
                      <w:bCs/>
                      <w:color w:val="000000"/>
                      <w:sz w:val="24"/>
                      <w:szCs w:val="24"/>
                      <w:lang w:eastAsia="en-GB"/>
                    </w:rPr>
                    <w:t xml:space="preserve">Last </w:t>
                  </w:r>
                  <w:r w:rsidR="00B42F63">
                    <w:rPr>
                      <w:rFonts w:eastAsia="Times New Roman" w:cs="Arial"/>
                      <w:b/>
                      <w:bCs/>
                      <w:color w:val="000000"/>
                      <w:sz w:val="24"/>
                      <w:szCs w:val="24"/>
                      <w:lang w:eastAsia="en-GB"/>
                    </w:rPr>
                    <w:t>P&amp;R</w:t>
                  </w:r>
                </w:p>
                <w:p w14:paraId="7DDAAB7F" w14:textId="6EA0B2CF" w:rsidR="005F6BB9" w:rsidRPr="00993FB4" w:rsidRDefault="005F6BB9" w:rsidP="005F6BB9">
                  <w:pPr>
                    <w:jc w:val="center"/>
                    <w:rPr>
                      <w:rFonts w:eastAsia="Times New Roman" w:cs="Arial"/>
                      <w:b/>
                      <w:bCs/>
                      <w:color w:val="000000"/>
                      <w:sz w:val="24"/>
                      <w:szCs w:val="24"/>
                      <w:lang w:eastAsia="en-GB"/>
                    </w:rPr>
                  </w:pPr>
                  <w:r w:rsidRPr="00993FB4">
                    <w:rPr>
                      <w:rFonts w:eastAsia="Times New Roman" w:cs="Arial"/>
                      <w:b/>
                      <w:bCs/>
                      <w:color w:val="000000"/>
                      <w:sz w:val="24"/>
                      <w:szCs w:val="24"/>
                      <w:lang w:eastAsia="en-GB"/>
                    </w:rPr>
                    <w:t>(</w:t>
                  </w:r>
                  <w:r w:rsidR="003A7D6C" w:rsidRPr="00993FB4">
                    <w:rPr>
                      <w:rFonts w:eastAsia="Times New Roman" w:cs="Arial"/>
                      <w:b/>
                      <w:bCs/>
                      <w:color w:val="000000"/>
                      <w:sz w:val="24"/>
                      <w:szCs w:val="24"/>
                      <w:lang w:eastAsia="en-GB"/>
                    </w:rPr>
                    <w:t xml:space="preserve">Month </w:t>
                  </w:r>
                  <w:r w:rsidR="000677F0" w:rsidRPr="00993FB4">
                    <w:rPr>
                      <w:rFonts w:eastAsia="Times New Roman" w:cs="Arial"/>
                      <w:b/>
                      <w:bCs/>
                      <w:color w:val="000000"/>
                      <w:sz w:val="24"/>
                      <w:szCs w:val="24"/>
                      <w:lang w:eastAsia="en-GB"/>
                    </w:rPr>
                    <w:t>6</w:t>
                  </w:r>
                  <w:r w:rsidRPr="00993FB4">
                    <w:rPr>
                      <w:rFonts w:eastAsia="Times New Roman" w:cs="Arial"/>
                      <w:b/>
                      <w:bCs/>
                      <w:color w:val="000000"/>
                      <w:sz w:val="24"/>
                      <w:szCs w:val="24"/>
                      <w:lang w:eastAsia="en-GB"/>
                    </w:rPr>
                    <w:t>)</w:t>
                  </w:r>
                </w:p>
              </w:tc>
              <w:tc>
                <w:tcPr>
                  <w:tcW w:w="1417" w:type="dxa"/>
                  <w:tcBorders>
                    <w:top w:val="single" w:sz="8" w:space="0" w:color="auto"/>
                    <w:left w:val="nil"/>
                    <w:bottom w:val="nil"/>
                    <w:right w:val="single" w:sz="8" w:space="0" w:color="auto"/>
                  </w:tcBorders>
                  <w:shd w:val="clear" w:color="auto" w:fill="auto"/>
                  <w:tcMar>
                    <w:top w:w="57" w:type="dxa"/>
                    <w:left w:w="57" w:type="dxa"/>
                    <w:bottom w:w="57" w:type="dxa"/>
                    <w:right w:w="57" w:type="dxa"/>
                  </w:tcMar>
                  <w:hideMark/>
                </w:tcPr>
                <w:p w14:paraId="48F2120F" w14:textId="77777777" w:rsidR="005F6BB9" w:rsidRPr="00993FB4" w:rsidRDefault="005F6BB9" w:rsidP="005F6BB9">
                  <w:pPr>
                    <w:jc w:val="center"/>
                    <w:rPr>
                      <w:rFonts w:eastAsia="Times New Roman" w:cs="Arial"/>
                      <w:b/>
                      <w:bCs/>
                      <w:color w:val="000000"/>
                      <w:sz w:val="24"/>
                      <w:szCs w:val="24"/>
                      <w:lang w:eastAsia="en-GB"/>
                    </w:rPr>
                  </w:pPr>
                  <w:r w:rsidRPr="00993FB4">
                    <w:rPr>
                      <w:rFonts w:eastAsia="Times New Roman" w:cs="Arial"/>
                      <w:b/>
                      <w:bCs/>
                      <w:color w:val="000000"/>
                      <w:sz w:val="24"/>
                      <w:szCs w:val="24"/>
                      <w:lang w:eastAsia="en-GB"/>
                    </w:rPr>
                    <w:t>Movement</w:t>
                  </w:r>
                </w:p>
              </w:tc>
            </w:tr>
            <w:tr w:rsidR="005F6BB9" w:rsidRPr="00993FB4" w14:paraId="0D03A6CA" w14:textId="77777777" w:rsidTr="00573DBD">
              <w:trPr>
                <w:trHeight w:val="315"/>
                <w:jc w:val="center"/>
              </w:trPr>
              <w:tc>
                <w:tcPr>
                  <w:tcW w:w="3392" w:type="dxa"/>
                  <w:tcBorders>
                    <w:top w:val="nil"/>
                    <w:left w:val="single" w:sz="8" w:space="0" w:color="auto"/>
                    <w:bottom w:val="nil"/>
                    <w:right w:val="nil"/>
                  </w:tcBorders>
                  <w:shd w:val="clear" w:color="auto" w:fill="auto"/>
                  <w:tcMar>
                    <w:top w:w="57" w:type="dxa"/>
                    <w:left w:w="57" w:type="dxa"/>
                    <w:bottom w:w="57" w:type="dxa"/>
                    <w:right w:w="57" w:type="dxa"/>
                  </w:tcMar>
                  <w:hideMark/>
                </w:tcPr>
                <w:p w14:paraId="19CF121B" w14:textId="77777777" w:rsidR="005F6BB9" w:rsidRPr="00993FB4" w:rsidRDefault="005F6BB9" w:rsidP="005F6BB9">
                  <w:pPr>
                    <w:rPr>
                      <w:rFonts w:eastAsia="Times New Roman" w:cs="Arial"/>
                      <w:color w:val="000000"/>
                      <w:sz w:val="24"/>
                      <w:szCs w:val="24"/>
                      <w:lang w:eastAsia="en-GB"/>
                    </w:rPr>
                  </w:pPr>
                  <w:r w:rsidRPr="00993FB4">
                    <w:rPr>
                      <w:rFonts w:eastAsia="Times New Roman" w:cs="Arial"/>
                      <w:color w:val="000000"/>
                      <w:sz w:val="24"/>
                      <w:szCs w:val="24"/>
                      <w:lang w:eastAsia="en-GB"/>
                    </w:rPr>
                    <w:t> </w:t>
                  </w:r>
                </w:p>
              </w:tc>
              <w:tc>
                <w:tcPr>
                  <w:tcW w:w="1843" w:type="dxa"/>
                  <w:tcBorders>
                    <w:top w:val="nil"/>
                    <w:left w:val="single" w:sz="8" w:space="0" w:color="auto"/>
                    <w:bottom w:val="nil"/>
                    <w:right w:val="single" w:sz="8" w:space="0" w:color="auto"/>
                  </w:tcBorders>
                  <w:shd w:val="clear" w:color="auto" w:fill="auto"/>
                  <w:tcMar>
                    <w:top w:w="57" w:type="dxa"/>
                    <w:left w:w="57" w:type="dxa"/>
                    <w:bottom w:w="57" w:type="dxa"/>
                    <w:right w:w="57" w:type="dxa"/>
                  </w:tcMar>
                  <w:hideMark/>
                </w:tcPr>
                <w:p w14:paraId="37F6689B" w14:textId="77777777" w:rsidR="005F6BB9" w:rsidRPr="00993FB4" w:rsidRDefault="005F6BB9" w:rsidP="005F6BB9">
                  <w:pPr>
                    <w:jc w:val="center"/>
                    <w:rPr>
                      <w:rFonts w:eastAsia="Times New Roman" w:cs="Arial"/>
                      <w:b/>
                      <w:bCs/>
                      <w:color w:val="000000"/>
                      <w:sz w:val="24"/>
                      <w:szCs w:val="24"/>
                      <w:lang w:eastAsia="en-GB"/>
                    </w:rPr>
                  </w:pPr>
                  <w:r w:rsidRPr="00993FB4">
                    <w:rPr>
                      <w:rFonts w:eastAsia="Times New Roman" w:cs="Arial"/>
                      <w:b/>
                      <w:bCs/>
                      <w:color w:val="000000"/>
                      <w:sz w:val="24"/>
                      <w:szCs w:val="24"/>
                      <w:lang w:eastAsia="en-GB"/>
                    </w:rPr>
                    <w:t>£’000</w:t>
                  </w:r>
                </w:p>
              </w:tc>
              <w:tc>
                <w:tcPr>
                  <w:tcW w:w="1418" w:type="dxa"/>
                  <w:tcBorders>
                    <w:top w:val="nil"/>
                    <w:left w:val="nil"/>
                    <w:bottom w:val="nil"/>
                    <w:right w:val="single" w:sz="8" w:space="0" w:color="auto"/>
                  </w:tcBorders>
                  <w:shd w:val="clear" w:color="auto" w:fill="auto"/>
                  <w:tcMar>
                    <w:top w:w="57" w:type="dxa"/>
                    <w:left w:w="57" w:type="dxa"/>
                    <w:bottom w:w="57" w:type="dxa"/>
                    <w:right w:w="57" w:type="dxa"/>
                  </w:tcMar>
                  <w:hideMark/>
                </w:tcPr>
                <w:p w14:paraId="0317D123" w14:textId="77777777" w:rsidR="005F6BB9" w:rsidRPr="00993FB4" w:rsidRDefault="005F6BB9" w:rsidP="005F6BB9">
                  <w:pPr>
                    <w:jc w:val="center"/>
                    <w:rPr>
                      <w:rFonts w:eastAsia="Times New Roman" w:cs="Arial"/>
                      <w:b/>
                      <w:bCs/>
                      <w:color w:val="000000"/>
                      <w:sz w:val="24"/>
                      <w:szCs w:val="24"/>
                      <w:lang w:eastAsia="en-GB"/>
                    </w:rPr>
                  </w:pPr>
                  <w:r w:rsidRPr="00993FB4">
                    <w:rPr>
                      <w:rFonts w:eastAsia="Times New Roman" w:cs="Arial"/>
                      <w:b/>
                      <w:bCs/>
                      <w:color w:val="000000"/>
                      <w:sz w:val="24"/>
                      <w:szCs w:val="24"/>
                      <w:lang w:eastAsia="en-GB"/>
                    </w:rPr>
                    <w:t>£’000</w:t>
                  </w:r>
                </w:p>
              </w:tc>
              <w:tc>
                <w:tcPr>
                  <w:tcW w:w="1417" w:type="dxa"/>
                  <w:tcBorders>
                    <w:top w:val="nil"/>
                    <w:left w:val="nil"/>
                    <w:bottom w:val="nil"/>
                    <w:right w:val="single" w:sz="8" w:space="0" w:color="auto"/>
                  </w:tcBorders>
                  <w:shd w:val="clear" w:color="auto" w:fill="auto"/>
                  <w:tcMar>
                    <w:top w:w="57" w:type="dxa"/>
                    <w:left w:w="57" w:type="dxa"/>
                    <w:bottom w:w="57" w:type="dxa"/>
                    <w:right w:w="57" w:type="dxa"/>
                  </w:tcMar>
                  <w:hideMark/>
                </w:tcPr>
                <w:p w14:paraId="43BEE27D" w14:textId="77777777" w:rsidR="005F6BB9" w:rsidRPr="00993FB4" w:rsidRDefault="005F6BB9" w:rsidP="005F6BB9">
                  <w:pPr>
                    <w:jc w:val="center"/>
                    <w:rPr>
                      <w:rFonts w:eastAsia="Times New Roman" w:cs="Arial"/>
                      <w:b/>
                      <w:bCs/>
                      <w:color w:val="000000"/>
                      <w:sz w:val="24"/>
                      <w:szCs w:val="24"/>
                      <w:lang w:eastAsia="en-GB"/>
                    </w:rPr>
                  </w:pPr>
                  <w:r w:rsidRPr="00993FB4">
                    <w:rPr>
                      <w:rFonts w:eastAsia="Times New Roman" w:cs="Arial"/>
                      <w:b/>
                      <w:bCs/>
                      <w:color w:val="000000"/>
                      <w:sz w:val="24"/>
                      <w:szCs w:val="24"/>
                      <w:lang w:eastAsia="en-GB"/>
                    </w:rPr>
                    <w:t>£’000</w:t>
                  </w:r>
                </w:p>
              </w:tc>
            </w:tr>
            <w:tr w:rsidR="000677F0" w:rsidRPr="00993FB4" w14:paraId="79B6F11B" w14:textId="77777777" w:rsidTr="00573DBD">
              <w:trPr>
                <w:trHeight w:val="300"/>
                <w:jc w:val="center"/>
              </w:trPr>
              <w:tc>
                <w:tcPr>
                  <w:tcW w:w="3392" w:type="dxa"/>
                  <w:tcBorders>
                    <w:top w:val="single" w:sz="8" w:space="0" w:color="auto"/>
                    <w:left w:val="single" w:sz="8" w:space="0" w:color="auto"/>
                    <w:bottom w:val="nil"/>
                    <w:right w:val="nil"/>
                  </w:tcBorders>
                  <w:shd w:val="clear" w:color="auto" w:fill="auto"/>
                  <w:tcMar>
                    <w:top w:w="57" w:type="dxa"/>
                    <w:left w:w="57" w:type="dxa"/>
                    <w:bottom w:w="57" w:type="dxa"/>
                    <w:right w:w="57" w:type="dxa"/>
                  </w:tcMar>
                  <w:hideMark/>
                </w:tcPr>
                <w:p w14:paraId="60224189" w14:textId="77777777" w:rsidR="000677F0" w:rsidRPr="00993FB4" w:rsidRDefault="000677F0" w:rsidP="000677F0">
                  <w:pPr>
                    <w:rPr>
                      <w:rFonts w:eastAsia="Times New Roman" w:cs="Arial"/>
                      <w:color w:val="000000"/>
                      <w:sz w:val="24"/>
                      <w:szCs w:val="24"/>
                      <w:lang w:eastAsia="en-GB"/>
                    </w:rPr>
                  </w:pPr>
                  <w:r w:rsidRPr="00993FB4">
                    <w:rPr>
                      <w:rFonts w:eastAsia="Times New Roman" w:cs="Arial"/>
                      <w:color w:val="000000"/>
                      <w:sz w:val="24"/>
                      <w:szCs w:val="24"/>
                      <w:lang w:eastAsia="en-GB"/>
                    </w:rPr>
                    <w:t>Revenue (see section 2)</w:t>
                  </w:r>
                </w:p>
              </w:tc>
              <w:tc>
                <w:tcPr>
                  <w:tcW w:w="1843" w:type="dxa"/>
                  <w:tcBorders>
                    <w:top w:val="single" w:sz="8" w:space="0" w:color="auto"/>
                    <w:left w:val="single" w:sz="8" w:space="0" w:color="auto"/>
                    <w:bottom w:val="nil"/>
                    <w:right w:val="single" w:sz="8" w:space="0" w:color="auto"/>
                  </w:tcBorders>
                  <w:shd w:val="clear" w:color="auto" w:fill="auto"/>
                  <w:tcMar>
                    <w:top w:w="57" w:type="dxa"/>
                    <w:left w:w="57" w:type="dxa"/>
                    <w:bottom w:w="57" w:type="dxa"/>
                    <w:right w:w="57" w:type="dxa"/>
                  </w:tcMar>
                </w:tcPr>
                <w:p w14:paraId="1D3920C7" w14:textId="00E59030" w:rsidR="000677F0" w:rsidRPr="00993FB4" w:rsidRDefault="005B6D15" w:rsidP="000677F0">
                  <w:pPr>
                    <w:jc w:val="center"/>
                    <w:rPr>
                      <w:rFonts w:eastAsia="Times New Roman" w:cs="Arial"/>
                      <w:sz w:val="24"/>
                      <w:szCs w:val="24"/>
                      <w:lang w:eastAsia="en-GB"/>
                    </w:rPr>
                  </w:pPr>
                  <w:r w:rsidRPr="00993FB4">
                    <w:rPr>
                      <w:rFonts w:eastAsia="Times New Roman" w:cs="Arial"/>
                      <w:color w:val="FF0000"/>
                      <w:sz w:val="24"/>
                      <w:szCs w:val="24"/>
                      <w:lang w:eastAsia="en-GB"/>
                    </w:rPr>
                    <w:t>(</w:t>
                  </w:r>
                  <w:r w:rsidR="00AC51D2">
                    <w:rPr>
                      <w:rFonts w:eastAsia="Times New Roman" w:cs="Arial"/>
                      <w:color w:val="FF0000"/>
                      <w:sz w:val="24"/>
                      <w:szCs w:val="24"/>
                      <w:lang w:eastAsia="en-GB"/>
                    </w:rPr>
                    <w:t>4</w:t>
                  </w:r>
                  <w:r w:rsidR="007C7CF3">
                    <w:rPr>
                      <w:rFonts w:eastAsia="Times New Roman" w:cs="Arial"/>
                      <w:color w:val="FF0000"/>
                      <w:sz w:val="24"/>
                      <w:szCs w:val="24"/>
                      <w:lang w:eastAsia="en-GB"/>
                    </w:rPr>
                    <w:t>2</w:t>
                  </w:r>
                  <w:r w:rsidRPr="00993FB4">
                    <w:rPr>
                      <w:rFonts w:eastAsia="Times New Roman" w:cs="Arial"/>
                      <w:color w:val="FF0000"/>
                      <w:sz w:val="24"/>
                      <w:szCs w:val="24"/>
                      <w:lang w:eastAsia="en-GB"/>
                    </w:rPr>
                    <w:t>)</w:t>
                  </w:r>
                </w:p>
              </w:tc>
              <w:tc>
                <w:tcPr>
                  <w:tcW w:w="1418" w:type="dxa"/>
                  <w:tcBorders>
                    <w:top w:val="single" w:sz="8" w:space="0" w:color="auto"/>
                    <w:left w:val="single" w:sz="8" w:space="0" w:color="auto"/>
                    <w:bottom w:val="nil"/>
                    <w:right w:val="single" w:sz="8" w:space="0" w:color="auto"/>
                  </w:tcBorders>
                  <w:shd w:val="clear" w:color="auto" w:fill="auto"/>
                  <w:tcMar>
                    <w:top w:w="57" w:type="dxa"/>
                    <w:left w:w="57" w:type="dxa"/>
                    <w:bottom w:w="57" w:type="dxa"/>
                    <w:right w:w="57" w:type="dxa"/>
                  </w:tcMar>
                </w:tcPr>
                <w:p w14:paraId="33AB3D5F" w14:textId="126B4384" w:rsidR="000677F0" w:rsidRPr="00993FB4" w:rsidRDefault="000677F0" w:rsidP="000677F0">
                  <w:pPr>
                    <w:jc w:val="center"/>
                    <w:rPr>
                      <w:rFonts w:eastAsia="Times New Roman" w:cs="Arial"/>
                      <w:sz w:val="24"/>
                      <w:szCs w:val="24"/>
                      <w:lang w:eastAsia="en-GB"/>
                    </w:rPr>
                  </w:pPr>
                  <w:r w:rsidRPr="00993FB4">
                    <w:rPr>
                      <w:rFonts w:eastAsia="Times New Roman" w:cs="Arial"/>
                      <w:color w:val="FF0000"/>
                      <w:sz w:val="24"/>
                      <w:szCs w:val="24"/>
                      <w:lang w:eastAsia="en-GB"/>
                    </w:rPr>
                    <w:t>(7)</w:t>
                  </w:r>
                </w:p>
              </w:tc>
              <w:tc>
                <w:tcPr>
                  <w:tcW w:w="1417" w:type="dxa"/>
                  <w:tcBorders>
                    <w:top w:val="single" w:sz="8" w:space="0" w:color="auto"/>
                    <w:left w:val="single" w:sz="8" w:space="0" w:color="auto"/>
                    <w:bottom w:val="nil"/>
                    <w:right w:val="single" w:sz="8" w:space="0" w:color="auto"/>
                  </w:tcBorders>
                  <w:shd w:val="clear" w:color="auto" w:fill="auto"/>
                  <w:tcMar>
                    <w:top w:w="57" w:type="dxa"/>
                    <w:left w:w="57" w:type="dxa"/>
                    <w:bottom w:w="57" w:type="dxa"/>
                    <w:right w:w="57" w:type="dxa"/>
                  </w:tcMar>
                </w:tcPr>
                <w:p w14:paraId="4B5E3F80" w14:textId="01FB6746" w:rsidR="000677F0" w:rsidRPr="00993FB4" w:rsidRDefault="000677F0" w:rsidP="000677F0">
                  <w:pPr>
                    <w:jc w:val="center"/>
                    <w:rPr>
                      <w:rFonts w:eastAsia="Times New Roman" w:cs="Arial"/>
                      <w:sz w:val="24"/>
                      <w:szCs w:val="24"/>
                      <w:lang w:eastAsia="en-GB"/>
                    </w:rPr>
                  </w:pPr>
                  <w:r w:rsidRPr="00993FB4">
                    <w:rPr>
                      <w:rFonts w:eastAsia="Times New Roman" w:cs="Arial"/>
                      <w:color w:val="FF0000"/>
                      <w:sz w:val="24"/>
                      <w:szCs w:val="24"/>
                      <w:lang w:eastAsia="en-GB"/>
                    </w:rPr>
                    <w:t>(</w:t>
                  </w:r>
                  <w:r w:rsidR="00AC51D2">
                    <w:rPr>
                      <w:rFonts w:eastAsia="Times New Roman" w:cs="Arial"/>
                      <w:color w:val="FF0000"/>
                      <w:sz w:val="24"/>
                      <w:szCs w:val="24"/>
                      <w:lang w:eastAsia="en-GB"/>
                    </w:rPr>
                    <w:t>3</w:t>
                  </w:r>
                  <w:r w:rsidR="007C7CF3">
                    <w:rPr>
                      <w:rFonts w:eastAsia="Times New Roman" w:cs="Arial"/>
                      <w:color w:val="FF0000"/>
                      <w:sz w:val="24"/>
                      <w:szCs w:val="24"/>
                      <w:lang w:eastAsia="en-GB"/>
                    </w:rPr>
                    <w:t>5</w:t>
                  </w:r>
                  <w:r w:rsidRPr="00993FB4">
                    <w:rPr>
                      <w:rFonts w:eastAsia="Times New Roman" w:cs="Arial"/>
                      <w:color w:val="FF0000"/>
                      <w:sz w:val="24"/>
                      <w:szCs w:val="24"/>
                      <w:lang w:eastAsia="en-GB"/>
                    </w:rPr>
                    <w:t>)</w:t>
                  </w:r>
                </w:p>
              </w:tc>
            </w:tr>
            <w:tr w:rsidR="000677F0" w:rsidRPr="00993FB4" w14:paraId="24FE9270" w14:textId="77777777" w:rsidTr="00573DBD">
              <w:trPr>
                <w:trHeight w:val="300"/>
                <w:jc w:val="center"/>
              </w:trPr>
              <w:tc>
                <w:tcPr>
                  <w:tcW w:w="3392" w:type="dxa"/>
                  <w:tcBorders>
                    <w:top w:val="single" w:sz="8" w:space="0" w:color="auto"/>
                    <w:left w:val="single" w:sz="8" w:space="0" w:color="auto"/>
                    <w:bottom w:val="single" w:sz="8" w:space="0" w:color="auto"/>
                    <w:right w:val="nil"/>
                  </w:tcBorders>
                  <w:shd w:val="clear" w:color="auto" w:fill="auto"/>
                  <w:tcMar>
                    <w:top w:w="57" w:type="dxa"/>
                    <w:left w:w="57" w:type="dxa"/>
                    <w:bottom w:w="57" w:type="dxa"/>
                    <w:right w:w="57" w:type="dxa"/>
                  </w:tcMar>
                  <w:hideMark/>
                </w:tcPr>
                <w:p w14:paraId="7A4C9051" w14:textId="77777777" w:rsidR="000677F0" w:rsidRPr="00993FB4" w:rsidRDefault="000677F0" w:rsidP="000677F0">
                  <w:pPr>
                    <w:rPr>
                      <w:rFonts w:eastAsia="Times New Roman" w:cs="Arial"/>
                      <w:color w:val="000000"/>
                      <w:sz w:val="24"/>
                      <w:szCs w:val="24"/>
                      <w:lang w:eastAsia="en-GB"/>
                    </w:rPr>
                  </w:pPr>
                  <w:r w:rsidRPr="00993FB4">
                    <w:rPr>
                      <w:rFonts w:eastAsia="Times New Roman" w:cs="Arial"/>
                      <w:color w:val="000000"/>
                      <w:sz w:val="24"/>
                      <w:szCs w:val="24"/>
                      <w:lang w:eastAsia="en-GB"/>
                    </w:rPr>
                    <w:t>Capital in year (see section 7)</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tcPr>
                <w:p w14:paraId="664968D6" w14:textId="7AED2775" w:rsidR="000677F0" w:rsidRPr="00993FB4" w:rsidRDefault="000677F0" w:rsidP="000677F0">
                  <w:pPr>
                    <w:jc w:val="center"/>
                    <w:rPr>
                      <w:rFonts w:eastAsia="Times New Roman" w:cs="Arial"/>
                      <w:color w:val="FF0000"/>
                      <w:sz w:val="24"/>
                      <w:szCs w:val="24"/>
                      <w:lang w:eastAsia="en-GB"/>
                    </w:rPr>
                  </w:pPr>
                  <w:r w:rsidRPr="00993FB4">
                    <w:rPr>
                      <w:rFonts w:eastAsia="Times New Roman" w:cs="Arial"/>
                      <w:color w:val="FF0000"/>
                      <w:sz w:val="24"/>
                      <w:szCs w:val="24"/>
                      <w:lang w:eastAsia="en-GB"/>
                    </w:rPr>
                    <w:t>(4,</w:t>
                  </w:r>
                  <w:r w:rsidR="00322115" w:rsidRPr="00993FB4">
                    <w:rPr>
                      <w:rFonts w:eastAsia="Times New Roman" w:cs="Arial"/>
                      <w:color w:val="FF0000"/>
                      <w:sz w:val="24"/>
                      <w:szCs w:val="24"/>
                      <w:lang w:eastAsia="en-GB"/>
                    </w:rPr>
                    <w:t>178</w:t>
                  </w:r>
                  <w:r w:rsidRPr="00993FB4">
                    <w:rPr>
                      <w:rFonts w:eastAsia="Times New Roman" w:cs="Arial"/>
                      <w:color w:val="FF0000"/>
                      <w:sz w:val="24"/>
                      <w:szCs w:val="24"/>
                      <w:lang w:eastAsia="en-GB"/>
                    </w:rPr>
                    <w:t>)</w:t>
                  </w:r>
                </w:p>
              </w:tc>
              <w:tc>
                <w:tcPr>
                  <w:tcW w:w="1418" w:type="dxa"/>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tcPr>
                <w:p w14:paraId="2947CBDC" w14:textId="5F3FAD60" w:rsidR="000677F0" w:rsidRPr="00993FB4" w:rsidRDefault="000677F0" w:rsidP="000677F0">
                  <w:pPr>
                    <w:jc w:val="center"/>
                    <w:rPr>
                      <w:rFonts w:eastAsia="Times New Roman" w:cs="Arial"/>
                      <w:sz w:val="24"/>
                      <w:szCs w:val="24"/>
                      <w:lang w:eastAsia="en-GB"/>
                    </w:rPr>
                  </w:pPr>
                  <w:r w:rsidRPr="00993FB4">
                    <w:rPr>
                      <w:rFonts w:eastAsia="Times New Roman" w:cs="Arial"/>
                      <w:color w:val="FF0000"/>
                      <w:sz w:val="24"/>
                      <w:szCs w:val="24"/>
                      <w:lang w:eastAsia="en-GB"/>
                    </w:rPr>
                    <w:t>(4,4</w:t>
                  </w:r>
                  <w:r w:rsidR="00652BDE">
                    <w:rPr>
                      <w:rFonts w:eastAsia="Times New Roman" w:cs="Arial"/>
                      <w:color w:val="FF0000"/>
                      <w:sz w:val="24"/>
                      <w:szCs w:val="24"/>
                      <w:lang w:eastAsia="en-GB"/>
                    </w:rPr>
                    <w:t>0</w:t>
                  </w:r>
                  <w:r w:rsidRPr="00993FB4">
                    <w:rPr>
                      <w:rFonts w:eastAsia="Times New Roman" w:cs="Arial"/>
                      <w:color w:val="FF0000"/>
                      <w:sz w:val="24"/>
                      <w:szCs w:val="24"/>
                      <w:lang w:eastAsia="en-GB"/>
                    </w:rPr>
                    <w:t>2)</w:t>
                  </w:r>
                </w:p>
              </w:tc>
              <w:tc>
                <w:tcPr>
                  <w:tcW w:w="1417" w:type="dxa"/>
                  <w:tcBorders>
                    <w:top w:val="single" w:sz="8" w:space="0" w:color="auto"/>
                    <w:left w:val="single" w:sz="8" w:space="0" w:color="auto"/>
                    <w:bottom w:val="single" w:sz="8" w:space="0" w:color="auto"/>
                    <w:right w:val="single" w:sz="8" w:space="0" w:color="auto"/>
                  </w:tcBorders>
                  <w:shd w:val="clear" w:color="auto" w:fill="auto"/>
                  <w:tcMar>
                    <w:top w:w="57" w:type="dxa"/>
                    <w:left w:w="57" w:type="dxa"/>
                    <w:bottom w:w="57" w:type="dxa"/>
                    <w:right w:w="57" w:type="dxa"/>
                  </w:tcMar>
                </w:tcPr>
                <w:p w14:paraId="426482E6" w14:textId="28EB3530" w:rsidR="000677F0" w:rsidRPr="00993FB4" w:rsidRDefault="00993FB4" w:rsidP="000677F0">
                  <w:pPr>
                    <w:jc w:val="center"/>
                    <w:rPr>
                      <w:rFonts w:eastAsia="Times New Roman" w:cs="Arial"/>
                      <w:color w:val="FF0000"/>
                      <w:sz w:val="24"/>
                      <w:szCs w:val="24"/>
                      <w:lang w:eastAsia="en-GB"/>
                    </w:rPr>
                  </w:pPr>
                  <w:r w:rsidRPr="00993FB4">
                    <w:rPr>
                      <w:rFonts w:eastAsia="Times New Roman" w:cs="Arial"/>
                      <w:sz w:val="24"/>
                      <w:szCs w:val="24"/>
                      <w:lang w:eastAsia="en-GB"/>
                    </w:rPr>
                    <w:t>2</w:t>
                  </w:r>
                  <w:r w:rsidR="00652BDE">
                    <w:rPr>
                      <w:rFonts w:eastAsia="Times New Roman" w:cs="Arial"/>
                      <w:sz w:val="24"/>
                      <w:szCs w:val="24"/>
                      <w:lang w:eastAsia="en-GB"/>
                    </w:rPr>
                    <w:t>2</w:t>
                  </w:r>
                  <w:r w:rsidRPr="00993FB4">
                    <w:rPr>
                      <w:rFonts w:eastAsia="Times New Roman" w:cs="Arial"/>
                      <w:sz w:val="24"/>
                      <w:szCs w:val="24"/>
                      <w:lang w:eastAsia="en-GB"/>
                    </w:rPr>
                    <w:t>4</w:t>
                  </w:r>
                </w:p>
              </w:tc>
            </w:tr>
          </w:tbl>
          <w:p w14:paraId="4E191733" w14:textId="77777777" w:rsidR="00877290" w:rsidRPr="00993FB4" w:rsidRDefault="00877290" w:rsidP="003151FE">
            <w:pPr>
              <w:pStyle w:val="ListParagraph"/>
              <w:rPr>
                <w:rFonts w:eastAsia="Times New Roman" w:cs="Arial"/>
                <w:sz w:val="24"/>
                <w:szCs w:val="24"/>
              </w:rPr>
            </w:pPr>
          </w:p>
        </w:tc>
      </w:tr>
      <w:tr w:rsidR="003D29EC" w:rsidRPr="00301D4F" w14:paraId="184E04CB" w14:textId="77777777" w:rsidTr="00BF65A0">
        <w:trPr>
          <w:gridAfter w:val="1"/>
          <w:wAfter w:w="249" w:type="dxa"/>
        </w:trPr>
        <w:tc>
          <w:tcPr>
            <w:tcW w:w="885" w:type="dxa"/>
            <w:gridSpan w:val="2"/>
          </w:tcPr>
          <w:p w14:paraId="08D4BF92" w14:textId="77777777" w:rsidR="003D29EC" w:rsidRPr="00301D4F" w:rsidRDefault="003D29EC" w:rsidP="00573DBD">
            <w:pPr>
              <w:rPr>
                <w:rFonts w:eastAsia="Times New Roman" w:cs="Arial"/>
                <w:sz w:val="24"/>
                <w:szCs w:val="24"/>
                <w:highlight w:val="yellow"/>
              </w:rPr>
            </w:pPr>
          </w:p>
        </w:tc>
        <w:tc>
          <w:tcPr>
            <w:tcW w:w="8931" w:type="dxa"/>
          </w:tcPr>
          <w:p w14:paraId="3EA384DF" w14:textId="7C3C5C1E" w:rsidR="003D29EC" w:rsidRPr="00993FB4" w:rsidRDefault="003D29EC" w:rsidP="009162BA">
            <w:pPr>
              <w:pStyle w:val="ListParagraph"/>
              <w:jc w:val="both"/>
              <w:rPr>
                <w:rFonts w:eastAsia="Times New Roman" w:cs="Arial"/>
                <w:sz w:val="18"/>
                <w:szCs w:val="18"/>
              </w:rPr>
            </w:pPr>
          </w:p>
          <w:p w14:paraId="64C5EE26" w14:textId="25A178C9" w:rsidR="000E446A" w:rsidRPr="00993FB4" w:rsidRDefault="000E446A" w:rsidP="00573DBD">
            <w:pPr>
              <w:jc w:val="both"/>
              <w:rPr>
                <w:rFonts w:eastAsia="Times New Roman" w:cs="Arial"/>
                <w:sz w:val="24"/>
                <w:szCs w:val="24"/>
              </w:rPr>
            </w:pPr>
          </w:p>
        </w:tc>
      </w:tr>
      <w:tr w:rsidR="00877290" w:rsidRPr="00301D4F" w14:paraId="528CAC43" w14:textId="77777777" w:rsidTr="00BF65A0">
        <w:trPr>
          <w:gridAfter w:val="1"/>
          <w:wAfter w:w="249" w:type="dxa"/>
        </w:trPr>
        <w:tc>
          <w:tcPr>
            <w:tcW w:w="885" w:type="dxa"/>
            <w:gridSpan w:val="2"/>
          </w:tcPr>
          <w:p w14:paraId="7FAEFD22" w14:textId="77777777" w:rsidR="00877290" w:rsidRPr="000677F0" w:rsidRDefault="00592687" w:rsidP="00573DBD">
            <w:pPr>
              <w:rPr>
                <w:rFonts w:eastAsia="Times New Roman" w:cs="Arial"/>
                <w:sz w:val="24"/>
                <w:szCs w:val="24"/>
              </w:rPr>
            </w:pPr>
            <w:r w:rsidRPr="000677F0">
              <w:rPr>
                <w:rFonts w:eastAsia="Times New Roman" w:cs="Arial"/>
                <w:sz w:val="24"/>
                <w:szCs w:val="24"/>
              </w:rPr>
              <w:t>1.3</w:t>
            </w:r>
          </w:p>
        </w:tc>
        <w:tc>
          <w:tcPr>
            <w:tcW w:w="8931" w:type="dxa"/>
          </w:tcPr>
          <w:p w14:paraId="7731F4E3" w14:textId="003CD164" w:rsidR="00877290" w:rsidRPr="000677F0" w:rsidRDefault="002828E0" w:rsidP="00573DBD">
            <w:pPr>
              <w:jc w:val="both"/>
              <w:rPr>
                <w:rFonts w:eastAsia="Times New Roman" w:cs="Arial"/>
                <w:sz w:val="24"/>
                <w:szCs w:val="24"/>
              </w:rPr>
            </w:pPr>
            <w:r w:rsidRPr="000677F0">
              <w:rPr>
                <w:rFonts w:eastAsia="Times New Roman" w:cs="Arial"/>
                <w:sz w:val="24"/>
                <w:szCs w:val="24"/>
              </w:rPr>
              <w:t>The Revenue Budget approved by the Fire Authority in February 202</w:t>
            </w:r>
            <w:r w:rsidR="00A6658D" w:rsidRPr="000677F0">
              <w:rPr>
                <w:rFonts w:eastAsia="Times New Roman" w:cs="Arial"/>
                <w:sz w:val="24"/>
                <w:szCs w:val="24"/>
              </w:rPr>
              <w:t>3</w:t>
            </w:r>
            <w:r w:rsidRPr="000677F0">
              <w:rPr>
                <w:rFonts w:eastAsia="Times New Roman" w:cs="Arial"/>
                <w:sz w:val="24"/>
                <w:szCs w:val="24"/>
              </w:rPr>
              <w:t xml:space="preserve"> was a net expenditure requirement of £4</w:t>
            </w:r>
            <w:r w:rsidR="005718CE" w:rsidRPr="000677F0">
              <w:rPr>
                <w:rFonts w:eastAsia="Times New Roman" w:cs="Arial"/>
                <w:sz w:val="24"/>
                <w:szCs w:val="24"/>
              </w:rPr>
              <w:t>0</w:t>
            </w:r>
            <w:r w:rsidRPr="000677F0">
              <w:rPr>
                <w:rFonts w:eastAsia="Times New Roman" w:cs="Arial"/>
                <w:sz w:val="24"/>
                <w:szCs w:val="24"/>
              </w:rPr>
              <w:t>,</w:t>
            </w:r>
            <w:r w:rsidR="005718CE" w:rsidRPr="000677F0">
              <w:rPr>
                <w:rFonts w:eastAsia="Times New Roman" w:cs="Arial"/>
                <w:sz w:val="24"/>
                <w:szCs w:val="24"/>
              </w:rPr>
              <w:t>057</w:t>
            </w:r>
            <w:r w:rsidRPr="000677F0">
              <w:rPr>
                <w:rFonts w:eastAsia="Times New Roman" w:cs="Arial"/>
                <w:sz w:val="24"/>
                <w:szCs w:val="24"/>
              </w:rPr>
              <w:t>,000</w:t>
            </w:r>
          </w:p>
        </w:tc>
      </w:tr>
      <w:tr w:rsidR="00877290" w:rsidRPr="00301D4F" w14:paraId="6C3892B6" w14:textId="77777777" w:rsidTr="00BF65A0">
        <w:trPr>
          <w:gridAfter w:val="1"/>
          <w:wAfter w:w="249" w:type="dxa"/>
        </w:trPr>
        <w:tc>
          <w:tcPr>
            <w:tcW w:w="885" w:type="dxa"/>
            <w:gridSpan w:val="2"/>
          </w:tcPr>
          <w:p w14:paraId="79B973A8" w14:textId="77777777" w:rsidR="00877290" w:rsidRPr="00301D4F" w:rsidRDefault="00877290" w:rsidP="00573DBD">
            <w:pPr>
              <w:rPr>
                <w:rFonts w:eastAsia="Times New Roman" w:cs="Arial"/>
                <w:sz w:val="24"/>
                <w:szCs w:val="24"/>
                <w:highlight w:val="yellow"/>
              </w:rPr>
            </w:pPr>
          </w:p>
        </w:tc>
        <w:tc>
          <w:tcPr>
            <w:tcW w:w="8931" w:type="dxa"/>
          </w:tcPr>
          <w:p w14:paraId="5A96F4C2" w14:textId="77777777" w:rsidR="00877290" w:rsidRPr="00301D4F" w:rsidRDefault="00877290" w:rsidP="00573DBD">
            <w:pPr>
              <w:jc w:val="both"/>
              <w:rPr>
                <w:rFonts w:eastAsia="Times New Roman" w:cs="Arial"/>
                <w:sz w:val="24"/>
                <w:szCs w:val="24"/>
                <w:highlight w:val="yellow"/>
              </w:rPr>
            </w:pPr>
          </w:p>
        </w:tc>
      </w:tr>
      <w:tr w:rsidR="00877290" w:rsidRPr="00301D4F" w14:paraId="4C5A1B69" w14:textId="77777777" w:rsidTr="00BF65A0">
        <w:trPr>
          <w:gridAfter w:val="1"/>
          <w:wAfter w:w="249" w:type="dxa"/>
        </w:trPr>
        <w:tc>
          <w:tcPr>
            <w:tcW w:w="885" w:type="dxa"/>
            <w:gridSpan w:val="2"/>
          </w:tcPr>
          <w:p w14:paraId="516140F5" w14:textId="77777777" w:rsidR="00877290" w:rsidRPr="00322115" w:rsidRDefault="00592687" w:rsidP="00573DBD">
            <w:pPr>
              <w:rPr>
                <w:rFonts w:eastAsia="Times New Roman" w:cs="Arial"/>
                <w:sz w:val="24"/>
                <w:szCs w:val="24"/>
              </w:rPr>
            </w:pPr>
            <w:r w:rsidRPr="00322115">
              <w:rPr>
                <w:rFonts w:eastAsia="Times New Roman" w:cs="Arial"/>
                <w:sz w:val="24"/>
                <w:szCs w:val="24"/>
              </w:rPr>
              <w:lastRenderedPageBreak/>
              <w:t>1.4</w:t>
            </w:r>
          </w:p>
        </w:tc>
        <w:tc>
          <w:tcPr>
            <w:tcW w:w="8931" w:type="dxa"/>
          </w:tcPr>
          <w:p w14:paraId="4BDEC745" w14:textId="683A463A" w:rsidR="002828E0" w:rsidRPr="00322115" w:rsidRDefault="002828E0" w:rsidP="002828E0">
            <w:pPr>
              <w:jc w:val="both"/>
              <w:rPr>
                <w:rFonts w:eastAsia="Times New Roman" w:cs="Arial"/>
                <w:sz w:val="24"/>
                <w:szCs w:val="24"/>
              </w:rPr>
            </w:pPr>
            <w:r w:rsidRPr="00322115">
              <w:rPr>
                <w:rFonts w:eastAsia="Times New Roman" w:cs="Arial"/>
                <w:sz w:val="24"/>
                <w:szCs w:val="24"/>
              </w:rPr>
              <w:t xml:space="preserve">A net revenue </w:t>
            </w:r>
            <w:r w:rsidR="00EE2D23" w:rsidRPr="00322115">
              <w:rPr>
                <w:rFonts w:eastAsia="Times New Roman" w:cs="Arial"/>
                <w:sz w:val="24"/>
                <w:szCs w:val="24"/>
              </w:rPr>
              <w:t>unders</w:t>
            </w:r>
            <w:r w:rsidR="003F542B" w:rsidRPr="00322115">
              <w:rPr>
                <w:rFonts w:eastAsia="Times New Roman" w:cs="Arial"/>
                <w:sz w:val="24"/>
                <w:szCs w:val="24"/>
              </w:rPr>
              <w:t>pend</w:t>
            </w:r>
            <w:r w:rsidRPr="00322115">
              <w:rPr>
                <w:rFonts w:eastAsia="Times New Roman" w:cs="Arial"/>
                <w:sz w:val="24"/>
                <w:szCs w:val="24"/>
              </w:rPr>
              <w:t xml:space="preserve"> to the sum of £</w:t>
            </w:r>
            <w:r w:rsidR="00AC51D2">
              <w:rPr>
                <w:rFonts w:eastAsia="Times New Roman" w:cs="Arial"/>
                <w:sz w:val="24"/>
                <w:szCs w:val="24"/>
              </w:rPr>
              <w:t>4</w:t>
            </w:r>
            <w:r w:rsidR="007C7CF3">
              <w:rPr>
                <w:rFonts w:eastAsia="Times New Roman" w:cs="Arial"/>
                <w:sz w:val="24"/>
                <w:szCs w:val="24"/>
              </w:rPr>
              <w:t>2</w:t>
            </w:r>
            <w:r w:rsidR="00095963" w:rsidRPr="00322115">
              <w:rPr>
                <w:rFonts w:eastAsia="Times New Roman" w:cs="Arial"/>
                <w:sz w:val="24"/>
                <w:szCs w:val="24"/>
              </w:rPr>
              <w:t>,000</w:t>
            </w:r>
            <w:r w:rsidRPr="00322115">
              <w:rPr>
                <w:rFonts w:eastAsia="Times New Roman" w:cs="Arial"/>
                <w:sz w:val="24"/>
                <w:szCs w:val="24"/>
              </w:rPr>
              <w:t xml:space="preserve"> has been identified at Month </w:t>
            </w:r>
            <w:r w:rsidR="00636695" w:rsidRPr="00322115">
              <w:rPr>
                <w:rFonts w:eastAsia="Times New Roman" w:cs="Arial"/>
                <w:sz w:val="24"/>
                <w:szCs w:val="24"/>
              </w:rPr>
              <w:t>8</w:t>
            </w:r>
            <w:r w:rsidRPr="00322115">
              <w:rPr>
                <w:rFonts w:eastAsia="Times New Roman" w:cs="Arial"/>
                <w:sz w:val="24"/>
                <w:szCs w:val="24"/>
              </w:rPr>
              <w:t xml:space="preserve"> (end </w:t>
            </w:r>
            <w:r w:rsidR="00636695" w:rsidRPr="00322115">
              <w:rPr>
                <w:rFonts w:eastAsia="Times New Roman" w:cs="Arial"/>
                <w:sz w:val="24"/>
                <w:szCs w:val="24"/>
              </w:rPr>
              <w:t>November</w:t>
            </w:r>
            <w:r w:rsidR="003A7D6C" w:rsidRPr="00322115">
              <w:rPr>
                <w:rFonts w:eastAsia="Times New Roman" w:cs="Arial"/>
                <w:sz w:val="24"/>
                <w:szCs w:val="24"/>
              </w:rPr>
              <w:t>)</w:t>
            </w:r>
            <w:r w:rsidRPr="00322115">
              <w:rPr>
                <w:rFonts w:eastAsia="Times New Roman" w:cs="Arial"/>
                <w:sz w:val="24"/>
                <w:szCs w:val="24"/>
              </w:rPr>
              <w:t xml:space="preserve"> </w:t>
            </w:r>
            <w:r w:rsidR="00955177" w:rsidRPr="00322115">
              <w:rPr>
                <w:rFonts w:eastAsia="Times New Roman" w:cs="Arial"/>
                <w:sz w:val="24"/>
                <w:szCs w:val="24"/>
              </w:rPr>
              <w:t xml:space="preserve">and </w:t>
            </w:r>
            <w:r w:rsidRPr="00322115">
              <w:rPr>
                <w:rFonts w:eastAsia="Times New Roman" w:cs="Arial"/>
                <w:sz w:val="24"/>
                <w:szCs w:val="24"/>
              </w:rPr>
              <w:t>is reflected in the Revenue Budget 202</w:t>
            </w:r>
            <w:r w:rsidR="00E15BBD" w:rsidRPr="00322115">
              <w:rPr>
                <w:rFonts w:eastAsia="Times New Roman" w:cs="Arial"/>
                <w:sz w:val="24"/>
                <w:szCs w:val="24"/>
              </w:rPr>
              <w:t>3</w:t>
            </w:r>
            <w:r w:rsidRPr="00322115">
              <w:rPr>
                <w:rFonts w:eastAsia="Times New Roman" w:cs="Arial"/>
                <w:sz w:val="24"/>
                <w:szCs w:val="24"/>
              </w:rPr>
              <w:t>/2</w:t>
            </w:r>
            <w:r w:rsidR="00E15BBD" w:rsidRPr="00322115">
              <w:rPr>
                <w:rFonts w:eastAsia="Times New Roman" w:cs="Arial"/>
                <w:sz w:val="24"/>
                <w:szCs w:val="24"/>
              </w:rPr>
              <w:t>4</w:t>
            </w:r>
            <w:r w:rsidRPr="00322115">
              <w:rPr>
                <w:rFonts w:eastAsia="Times New Roman" w:cs="Arial"/>
                <w:sz w:val="24"/>
                <w:szCs w:val="24"/>
              </w:rPr>
              <w:t xml:space="preserve"> objective summary at Appendix 1 and detailed in section 2.  </w:t>
            </w:r>
          </w:p>
          <w:p w14:paraId="1B05E620" w14:textId="77777777" w:rsidR="00877290" w:rsidRPr="00322115" w:rsidRDefault="00877290" w:rsidP="00573DBD">
            <w:pPr>
              <w:jc w:val="both"/>
              <w:rPr>
                <w:rFonts w:eastAsia="Times New Roman" w:cs="Arial"/>
                <w:sz w:val="24"/>
                <w:szCs w:val="24"/>
              </w:rPr>
            </w:pPr>
          </w:p>
        </w:tc>
      </w:tr>
      <w:tr w:rsidR="002828E0" w:rsidRPr="00301D4F" w14:paraId="30C32CCF" w14:textId="77777777" w:rsidTr="00BF65A0">
        <w:trPr>
          <w:gridAfter w:val="1"/>
          <w:wAfter w:w="249" w:type="dxa"/>
        </w:trPr>
        <w:tc>
          <w:tcPr>
            <w:tcW w:w="885" w:type="dxa"/>
            <w:gridSpan w:val="2"/>
          </w:tcPr>
          <w:p w14:paraId="1C9C20EA" w14:textId="0A885F4B" w:rsidR="002828E0" w:rsidRPr="00497781" w:rsidRDefault="002828E0" w:rsidP="00573DBD">
            <w:pPr>
              <w:rPr>
                <w:rFonts w:eastAsia="Times New Roman" w:cs="Arial"/>
                <w:sz w:val="24"/>
                <w:szCs w:val="24"/>
              </w:rPr>
            </w:pPr>
            <w:r w:rsidRPr="00497781">
              <w:rPr>
                <w:rFonts w:eastAsia="Times New Roman" w:cs="Arial"/>
                <w:sz w:val="24"/>
                <w:szCs w:val="24"/>
              </w:rPr>
              <w:t>1.5</w:t>
            </w:r>
          </w:p>
        </w:tc>
        <w:tc>
          <w:tcPr>
            <w:tcW w:w="8931" w:type="dxa"/>
          </w:tcPr>
          <w:p w14:paraId="486684D7" w14:textId="47C36677" w:rsidR="002C0FBF" w:rsidRPr="00497781" w:rsidRDefault="002828E0" w:rsidP="0069094A">
            <w:pPr>
              <w:jc w:val="both"/>
              <w:rPr>
                <w:sz w:val="24"/>
                <w:szCs w:val="24"/>
              </w:rPr>
            </w:pPr>
            <w:r w:rsidRPr="00497781">
              <w:rPr>
                <w:rFonts w:eastAsia="Times New Roman" w:cs="Arial"/>
                <w:sz w:val="24"/>
                <w:szCs w:val="24"/>
              </w:rPr>
              <w:t>The savings requirement 202</w:t>
            </w:r>
            <w:r w:rsidR="00E15BBD" w:rsidRPr="00497781">
              <w:rPr>
                <w:rFonts w:eastAsia="Times New Roman" w:cs="Arial"/>
                <w:sz w:val="24"/>
                <w:szCs w:val="24"/>
              </w:rPr>
              <w:t>3</w:t>
            </w:r>
            <w:r w:rsidRPr="00497781">
              <w:rPr>
                <w:rFonts w:eastAsia="Times New Roman" w:cs="Arial"/>
                <w:sz w:val="24"/>
                <w:szCs w:val="24"/>
              </w:rPr>
              <w:t>/2</w:t>
            </w:r>
            <w:r w:rsidR="00E15BBD" w:rsidRPr="00497781">
              <w:rPr>
                <w:rFonts w:eastAsia="Times New Roman" w:cs="Arial"/>
                <w:sz w:val="24"/>
                <w:szCs w:val="24"/>
              </w:rPr>
              <w:t>4</w:t>
            </w:r>
            <w:r w:rsidRPr="00497781">
              <w:rPr>
                <w:rFonts w:eastAsia="Times New Roman" w:cs="Arial"/>
                <w:sz w:val="24"/>
                <w:szCs w:val="24"/>
              </w:rPr>
              <w:t xml:space="preserve"> is £</w:t>
            </w:r>
            <w:r w:rsidR="00180810" w:rsidRPr="00497781">
              <w:rPr>
                <w:rFonts w:eastAsia="Times New Roman" w:cs="Arial"/>
                <w:sz w:val="24"/>
                <w:szCs w:val="24"/>
              </w:rPr>
              <w:t>1,295</w:t>
            </w:r>
            <w:r w:rsidRPr="00497781">
              <w:rPr>
                <w:rFonts w:eastAsia="Times New Roman" w:cs="Arial"/>
                <w:sz w:val="24"/>
                <w:szCs w:val="24"/>
              </w:rPr>
              <w:t xml:space="preserve">,000. The current position shows </w:t>
            </w:r>
            <w:r w:rsidRPr="00497781">
              <w:rPr>
                <w:sz w:val="24"/>
                <w:szCs w:val="24"/>
              </w:rPr>
              <w:t xml:space="preserve">we have delivered or are on course to </w:t>
            </w:r>
            <w:r w:rsidRPr="00456221">
              <w:rPr>
                <w:sz w:val="24"/>
                <w:szCs w:val="24"/>
              </w:rPr>
              <w:t>deliver £</w:t>
            </w:r>
            <w:r w:rsidR="00180810" w:rsidRPr="00456221">
              <w:rPr>
                <w:sz w:val="24"/>
                <w:szCs w:val="24"/>
              </w:rPr>
              <w:t>1,2</w:t>
            </w:r>
            <w:r w:rsidR="00714909" w:rsidRPr="00456221">
              <w:rPr>
                <w:sz w:val="24"/>
                <w:szCs w:val="24"/>
              </w:rPr>
              <w:t>30</w:t>
            </w:r>
            <w:r w:rsidR="003554A3" w:rsidRPr="00456221">
              <w:rPr>
                <w:sz w:val="24"/>
                <w:szCs w:val="24"/>
              </w:rPr>
              <w:t>,</w:t>
            </w:r>
            <w:r w:rsidRPr="00456221">
              <w:rPr>
                <w:sz w:val="24"/>
                <w:szCs w:val="24"/>
              </w:rPr>
              <w:t>000 (</w:t>
            </w:r>
            <w:r w:rsidR="00180810" w:rsidRPr="00456221">
              <w:rPr>
                <w:sz w:val="24"/>
                <w:szCs w:val="24"/>
              </w:rPr>
              <w:t>9</w:t>
            </w:r>
            <w:r w:rsidR="00714909" w:rsidRPr="00456221">
              <w:rPr>
                <w:sz w:val="24"/>
                <w:szCs w:val="24"/>
              </w:rPr>
              <w:t>5</w:t>
            </w:r>
            <w:r w:rsidRPr="00456221">
              <w:rPr>
                <w:sz w:val="24"/>
                <w:szCs w:val="24"/>
              </w:rPr>
              <w:t>%) of</w:t>
            </w:r>
            <w:r w:rsidRPr="00497781">
              <w:rPr>
                <w:sz w:val="24"/>
                <w:szCs w:val="24"/>
              </w:rPr>
              <w:t xml:space="preserve"> savings.  </w:t>
            </w:r>
            <w:r w:rsidR="0069094A" w:rsidRPr="00497781">
              <w:rPr>
                <w:sz w:val="24"/>
                <w:szCs w:val="24"/>
              </w:rPr>
              <w:t xml:space="preserve">There </w:t>
            </w:r>
            <w:r w:rsidR="00714909" w:rsidRPr="00497781">
              <w:rPr>
                <w:sz w:val="24"/>
                <w:szCs w:val="24"/>
              </w:rPr>
              <w:t xml:space="preserve">are two </w:t>
            </w:r>
            <w:r w:rsidR="0069094A" w:rsidRPr="00497781">
              <w:rPr>
                <w:sz w:val="24"/>
                <w:szCs w:val="24"/>
              </w:rPr>
              <w:t>saving</w:t>
            </w:r>
            <w:r w:rsidR="00714909" w:rsidRPr="00497781">
              <w:rPr>
                <w:sz w:val="24"/>
                <w:szCs w:val="24"/>
              </w:rPr>
              <w:t>s</w:t>
            </w:r>
            <w:r w:rsidR="0069094A" w:rsidRPr="00497781">
              <w:rPr>
                <w:sz w:val="24"/>
                <w:szCs w:val="24"/>
              </w:rPr>
              <w:t xml:space="preserve"> at risk</w:t>
            </w:r>
            <w:r w:rsidR="00714909" w:rsidRPr="00497781">
              <w:rPr>
                <w:sz w:val="24"/>
                <w:szCs w:val="24"/>
              </w:rPr>
              <w:t>, which also relate to prior year savings,</w:t>
            </w:r>
            <w:r w:rsidR="0069094A" w:rsidRPr="00497781">
              <w:rPr>
                <w:sz w:val="24"/>
                <w:szCs w:val="24"/>
              </w:rPr>
              <w:t xml:space="preserve"> as detailed in </w:t>
            </w:r>
            <w:r w:rsidR="0069094A" w:rsidRPr="00456221">
              <w:rPr>
                <w:sz w:val="24"/>
                <w:szCs w:val="24"/>
              </w:rPr>
              <w:t>Section 5.</w:t>
            </w:r>
          </w:p>
          <w:p w14:paraId="2CA77F16" w14:textId="305BDF27" w:rsidR="0069094A" w:rsidRPr="00497781" w:rsidRDefault="0069094A" w:rsidP="002C0FBF">
            <w:pPr>
              <w:jc w:val="both"/>
              <w:rPr>
                <w:rFonts w:eastAsia="Times New Roman" w:cs="Arial"/>
                <w:sz w:val="24"/>
                <w:szCs w:val="24"/>
              </w:rPr>
            </w:pPr>
          </w:p>
        </w:tc>
      </w:tr>
      <w:tr w:rsidR="002828E0" w:rsidRPr="00301D4F" w14:paraId="3C030F30" w14:textId="77777777" w:rsidTr="00BF65A0">
        <w:trPr>
          <w:gridAfter w:val="1"/>
          <w:wAfter w:w="249" w:type="dxa"/>
        </w:trPr>
        <w:tc>
          <w:tcPr>
            <w:tcW w:w="885" w:type="dxa"/>
            <w:gridSpan w:val="2"/>
          </w:tcPr>
          <w:p w14:paraId="0CF5E3EE" w14:textId="69E52597" w:rsidR="002828E0" w:rsidRPr="00497781" w:rsidRDefault="002828E0" w:rsidP="00573DBD">
            <w:pPr>
              <w:rPr>
                <w:rFonts w:eastAsia="Times New Roman" w:cs="Arial"/>
                <w:sz w:val="24"/>
                <w:szCs w:val="24"/>
              </w:rPr>
            </w:pPr>
            <w:r w:rsidRPr="00497781">
              <w:rPr>
                <w:rFonts w:eastAsia="Times New Roman" w:cs="Arial"/>
                <w:sz w:val="24"/>
                <w:szCs w:val="24"/>
              </w:rPr>
              <w:t>1.6</w:t>
            </w:r>
          </w:p>
        </w:tc>
        <w:tc>
          <w:tcPr>
            <w:tcW w:w="8931" w:type="dxa"/>
          </w:tcPr>
          <w:p w14:paraId="3EA7B4C0" w14:textId="27974F31" w:rsidR="002828E0" w:rsidRPr="00497781" w:rsidRDefault="002828E0" w:rsidP="002828E0">
            <w:pPr>
              <w:jc w:val="both"/>
              <w:rPr>
                <w:rFonts w:eastAsia="Times New Roman" w:cs="Arial"/>
                <w:b/>
                <w:bCs/>
              </w:rPr>
            </w:pPr>
            <w:r w:rsidRPr="00497781">
              <w:rPr>
                <w:rFonts w:eastAsia="Times New Roman" w:cs="Arial"/>
                <w:sz w:val="24"/>
                <w:szCs w:val="24"/>
              </w:rPr>
              <w:t xml:space="preserve">The grants available </w:t>
            </w:r>
            <w:r w:rsidRPr="00456221">
              <w:rPr>
                <w:rFonts w:eastAsia="Times New Roman" w:cs="Arial"/>
                <w:sz w:val="24"/>
                <w:szCs w:val="24"/>
              </w:rPr>
              <w:t>total £</w:t>
            </w:r>
            <w:r w:rsidR="0048398F" w:rsidRPr="00456221">
              <w:rPr>
                <w:rFonts w:eastAsia="Times New Roman" w:cs="Arial"/>
                <w:sz w:val="24"/>
                <w:szCs w:val="24"/>
              </w:rPr>
              <w:t>3</w:t>
            </w:r>
            <w:r w:rsidRPr="00456221">
              <w:rPr>
                <w:rFonts w:eastAsia="Times New Roman" w:cs="Arial"/>
                <w:sz w:val="24"/>
                <w:szCs w:val="24"/>
              </w:rPr>
              <w:t>.</w:t>
            </w:r>
            <w:r w:rsidR="0048398F" w:rsidRPr="00456221">
              <w:rPr>
                <w:rFonts w:eastAsia="Times New Roman" w:cs="Arial"/>
                <w:sz w:val="24"/>
                <w:szCs w:val="24"/>
              </w:rPr>
              <w:t>983</w:t>
            </w:r>
            <w:r w:rsidRPr="00456221">
              <w:rPr>
                <w:rFonts w:eastAsia="Times New Roman" w:cs="Arial"/>
                <w:sz w:val="24"/>
                <w:szCs w:val="24"/>
              </w:rPr>
              <w:t>m,</w:t>
            </w:r>
            <w:r w:rsidRPr="00497781">
              <w:rPr>
                <w:rFonts w:eastAsia="Times New Roman" w:cs="Arial"/>
                <w:sz w:val="24"/>
                <w:szCs w:val="24"/>
              </w:rPr>
              <w:t xml:space="preserve"> including grants brought forward from previous years,</w:t>
            </w:r>
            <w:r w:rsidR="00FC2FA3" w:rsidRPr="00497781">
              <w:rPr>
                <w:rFonts w:eastAsia="Times New Roman" w:cs="Arial"/>
                <w:sz w:val="24"/>
                <w:szCs w:val="24"/>
              </w:rPr>
              <w:t xml:space="preserve"> </w:t>
            </w:r>
            <w:r w:rsidRPr="00497781">
              <w:rPr>
                <w:rFonts w:eastAsia="Times New Roman" w:cs="Arial"/>
                <w:sz w:val="24"/>
                <w:szCs w:val="24"/>
              </w:rPr>
              <w:t xml:space="preserve">as </w:t>
            </w:r>
            <w:r w:rsidRPr="00456221">
              <w:rPr>
                <w:rFonts w:eastAsia="Times New Roman" w:cs="Arial"/>
                <w:sz w:val="24"/>
                <w:szCs w:val="24"/>
              </w:rPr>
              <w:t xml:space="preserve">summarised in Appendix 3 and detailed in section </w:t>
            </w:r>
            <w:r w:rsidR="00456221" w:rsidRPr="00456221">
              <w:rPr>
                <w:rFonts w:eastAsia="Times New Roman" w:cs="Arial"/>
                <w:sz w:val="24"/>
                <w:szCs w:val="24"/>
              </w:rPr>
              <w:t>6</w:t>
            </w:r>
            <w:r w:rsidRPr="00456221">
              <w:rPr>
                <w:rFonts w:eastAsia="Times New Roman" w:cs="Arial"/>
                <w:sz w:val="24"/>
                <w:szCs w:val="24"/>
              </w:rPr>
              <w:t>.</w:t>
            </w:r>
            <w:r w:rsidRPr="00497781">
              <w:rPr>
                <w:rFonts w:eastAsia="Times New Roman" w:cs="Arial"/>
                <w:sz w:val="24"/>
                <w:szCs w:val="24"/>
              </w:rPr>
              <w:t xml:space="preserve"> </w:t>
            </w:r>
          </w:p>
          <w:p w14:paraId="5035D396" w14:textId="77777777" w:rsidR="002828E0" w:rsidRPr="00497781" w:rsidRDefault="002828E0" w:rsidP="00573DBD">
            <w:pPr>
              <w:jc w:val="both"/>
              <w:rPr>
                <w:rFonts w:eastAsia="Times New Roman" w:cs="Arial"/>
                <w:sz w:val="24"/>
                <w:szCs w:val="24"/>
              </w:rPr>
            </w:pPr>
          </w:p>
        </w:tc>
      </w:tr>
      <w:tr w:rsidR="002828E0" w:rsidRPr="00301D4F" w14:paraId="13DA491C" w14:textId="77777777" w:rsidTr="00BF65A0">
        <w:trPr>
          <w:gridAfter w:val="1"/>
          <w:wAfter w:w="249" w:type="dxa"/>
        </w:trPr>
        <w:tc>
          <w:tcPr>
            <w:tcW w:w="885" w:type="dxa"/>
            <w:gridSpan w:val="2"/>
          </w:tcPr>
          <w:p w14:paraId="47011701" w14:textId="14ADE5E5" w:rsidR="002828E0" w:rsidRPr="00636695" w:rsidRDefault="002828E0" w:rsidP="00573DBD">
            <w:pPr>
              <w:rPr>
                <w:rFonts w:eastAsia="Times New Roman" w:cs="Arial"/>
                <w:sz w:val="24"/>
                <w:szCs w:val="24"/>
              </w:rPr>
            </w:pPr>
            <w:r w:rsidRPr="00636695">
              <w:rPr>
                <w:rFonts w:eastAsia="Times New Roman" w:cs="Arial"/>
                <w:sz w:val="24"/>
                <w:szCs w:val="24"/>
              </w:rPr>
              <w:t>1.7</w:t>
            </w:r>
          </w:p>
        </w:tc>
        <w:tc>
          <w:tcPr>
            <w:tcW w:w="8931" w:type="dxa"/>
          </w:tcPr>
          <w:p w14:paraId="4956960F" w14:textId="682EF5A5" w:rsidR="002828E0" w:rsidRPr="00636695" w:rsidRDefault="002828E0" w:rsidP="002828E0">
            <w:pPr>
              <w:jc w:val="both"/>
              <w:rPr>
                <w:rFonts w:eastAsia="Times New Roman" w:cs="Arial"/>
                <w:sz w:val="24"/>
                <w:szCs w:val="24"/>
              </w:rPr>
            </w:pPr>
            <w:r w:rsidRPr="00636695">
              <w:rPr>
                <w:rFonts w:eastAsia="Times New Roman" w:cs="Arial"/>
                <w:sz w:val="24"/>
                <w:szCs w:val="24"/>
              </w:rPr>
              <w:t xml:space="preserve">The </w:t>
            </w:r>
            <w:proofErr w:type="gramStart"/>
            <w:r w:rsidRPr="00636695">
              <w:rPr>
                <w:rFonts w:eastAsia="Times New Roman" w:cs="Arial"/>
                <w:sz w:val="24"/>
                <w:szCs w:val="24"/>
              </w:rPr>
              <w:t>five year</w:t>
            </w:r>
            <w:proofErr w:type="gramEnd"/>
            <w:r w:rsidRPr="00636695">
              <w:rPr>
                <w:rFonts w:eastAsia="Times New Roman" w:cs="Arial"/>
                <w:sz w:val="24"/>
                <w:szCs w:val="24"/>
              </w:rPr>
              <w:t xml:space="preserve"> Capital Strategy 202</w:t>
            </w:r>
            <w:r w:rsidR="00E15BBD" w:rsidRPr="00636695">
              <w:rPr>
                <w:rFonts w:eastAsia="Times New Roman" w:cs="Arial"/>
                <w:sz w:val="24"/>
                <w:szCs w:val="24"/>
              </w:rPr>
              <w:t>3</w:t>
            </w:r>
            <w:r w:rsidRPr="00636695">
              <w:rPr>
                <w:rFonts w:eastAsia="Times New Roman" w:cs="Arial"/>
                <w:sz w:val="24"/>
                <w:szCs w:val="24"/>
              </w:rPr>
              <w:t>/2</w:t>
            </w:r>
            <w:r w:rsidR="00E15BBD" w:rsidRPr="00636695">
              <w:rPr>
                <w:rFonts w:eastAsia="Times New Roman" w:cs="Arial"/>
                <w:sz w:val="24"/>
                <w:szCs w:val="24"/>
              </w:rPr>
              <w:t>4</w:t>
            </w:r>
            <w:r w:rsidRPr="00636695">
              <w:rPr>
                <w:rFonts w:eastAsia="Times New Roman" w:cs="Arial"/>
                <w:sz w:val="24"/>
                <w:szCs w:val="24"/>
              </w:rPr>
              <w:t xml:space="preserve"> to 202</w:t>
            </w:r>
            <w:r w:rsidR="00E15BBD" w:rsidRPr="00636695">
              <w:rPr>
                <w:rFonts w:eastAsia="Times New Roman" w:cs="Arial"/>
                <w:sz w:val="24"/>
                <w:szCs w:val="24"/>
              </w:rPr>
              <w:t>7</w:t>
            </w:r>
            <w:r w:rsidRPr="00636695">
              <w:rPr>
                <w:rFonts w:eastAsia="Times New Roman" w:cs="Arial"/>
                <w:sz w:val="24"/>
                <w:szCs w:val="24"/>
              </w:rPr>
              <w:t>/2</w:t>
            </w:r>
            <w:r w:rsidR="00E15BBD" w:rsidRPr="00636695">
              <w:rPr>
                <w:rFonts w:eastAsia="Times New Roman" w:cs="Arial"/>
                <w:sz w:val="24"/>
                <w:szCs w:val="24"/>
              </w:rPr>
              <w:t>8</w:t>
            </w:r>
            <w:r w:rsidRPr="00636695">
              <w:rPr>
                <w:rFonts w:eastAsia="Times New Roman" w:cs="Arial"/>
                <w:sz w:val="24"/>
                <w:szCs w:val="24"/>
              </w:rPr>
              <w:t xml:space="preserve"> was approved by the Fire Authority in February 202</w:t>
            </w:r>
            <w:r w:rsidR="00C01B7A" w:rsidRPr="00636695">
              <w:rPr>
                <w:rFonts w:eastAsia="Times New Roman" w:cs="Arial"/>
                <w:sz w:val="24"/>
                <w:szCs w:val="24"/>
              </w:rPr>
              <w:t>3</w:t>
            </w:r>
            <w:r w:rsidRPr="00636695">
              <w:rPr>
                <w:rFonts w:eastAsia="Times New Roman" w:cs="Arial"/>
                <w:sz w:val="24"/>
                <w:szCs w:val="24"/>
              </w:rPr>
              <w:t xml:space="preserve"> at £2</w:t>
            </w:r>
            <w:r w:rsidR="009919E7" w:rsidRPr="00636695">
              <w:rPr>
                <w:rFonts w:eastAsia="Times New Roman" w:cs="Arial"/>
                <w:sz w:val="24"/>
                <w:szCs w:val="24"/>
              </w:rPr>
              <w:t>8</w:t>
            </w:r>
            <w:r w:rsidRPr="00636695">
              <w:rPr>
                <w:rFonts w:eastAsia="Times New Roman" w:cs="Arial"/>
                <w:sz w:val="24"/>
                <w:szCs w:val="24"/>
              </w:rPr>
              <w:t>,</w:t>
            </w:r>
            <w:r w:rsidR="009919E7" w:rsidRPr="00636695">
              <w:rPr>
                <w:rFonts w:eastAsia="Times New Roman" w:cs="Arial"/>
                <w:sz w:val="24"/>
                <w:szCs w:val="24"/>
              </w:rPr>
              <w:t>280</w:t>
            </w:r>
            <w:r w:rsidRPr="00636695">
              <w:rPr>
                <w:rFonts w:eastAsia="Times New Roman" w:cs="Arial"/>
                <w:sz w:val="24"/>
                <w:szCs w:val="24"/>
              </w:rPr>
              <w:t>,000</w:t>
            </w:r>
            <w:r w:rsidR="00752C3E" w:rsidRPr="00636695">
              <w:rPr>
                <w:rFonts w:eastAsia="Times New Roman" w:cs="Arial"/>
                <w:sz w:val="24"/>
                <w:szCs w:val="24"/>
              </w:rPr>
              <w:t xml:space="preserve">.  </w:t>
            </w:r>
            <w:r w:rsidR="009919E7" w:rsidRPr="00636695">
              <w:rPr>
                <w:rFonts w:eastAsia="Times New Roman" w:cs="Arial"/>
                <w:sz w:val="24"/>
                <w:szCs w:val="24"/>
              </w:rPr>
              <w:t xml:space="preserve">The Capital Strategy has been increased to £28,793,000 to include slippage of £975,000 and allocation of spend in advance of £462,000 from 2022/23.  </w:t>
            </w:r>
            <w:r w:rsidRPr="00636695">
              <w:rPr>
                <w:rFonts w:eastAsia="Times New Roman" w:cs="Arial"/>
                <w:sz w:val="24"/>
                <w:szCs w:val="24"/>
              </w:rPr>
              <w:t xml:space="preserve">The </w:t>
            </w:r>
            <w:proofErr w:type="gramStart"/>
            <w:r w:rsidRPr="00636695">
              <w:rPr>
                <w:rFonts w:eastAsia="Times New Roman" w:cs="Arial"/>
                <w:sz w:val="24"/>
                <w:szCs w:val="24"/>
              </w:rPr>
              <w:t>5 year</w:t>
            </w:r>
            <w:proofErr w:type="gramEnd"/>
            <w:r w:rsidRPr="00636695">
              <w:rPr>
                <w:rFonts w:eastAsia="Times New Roman" w:cs="Arial"/>
                <w:sz w:val="24"/>
                <w:szCs w:val="24"/>
              </w:rPr>
              <w:t xml:space="preserve"> Capital Programme is projected to </w:t>
            </w:r>
            <w:r w:rsidR="00715775" w:rsidRPr="00456221">
              <w:rPr>
                <w:rFonts w:eastAsia="Times New Roman" w:cs="Arial"/>
                <w:sz w:val="24"/>
                <w:szCs w:val="24"/>
              </w:rPr>
              <w:t>underspend by £</w:t>
            </w:r>
            <w:r w:rsidR="00111C1E" w:rsidRPr="00456221">
              <w:rPr>
                <w:rFonts w:eastAsia="Times New Roman" w:cs="Arial"/>
                <w:sz w:val="24"/>
                <w:szCs w:val="24"/>
              </w:rPr>
              <w:t>4</w:t>
            </w:r>
            <w:r w:rsidR="00444537" w:rsidRPr="00456221">
              <w:rPr>
                <w:rFonts w:eastAsia="Times New Roman" w:cs="Arial"/>
                <w:sz w:val="24"/>
                <w:szCs w:val="24"/>
              </w:rPr>
              <w:t>7</w:t>
            </w:r>
            <w:r w:rsidR="00111C1E" w:rsidRPr="00456221">
              <w:rPr>
                <w:rFonts w:eastAsia="Times New Roman" w:cs="Arial"/>
                <w:sz w:val="24"/>
                <w:szCs w:val="24"/>
              </w:rPr>
              <w:t>8</w:t>
            </w:r>
            <w:r w:rsidR="00715775" w:rsidRPr="00456221">
              <w:rPr>
                <w:rFonts w:eastAsia="Times New Roman" w:cs="Arial"/>
                <w:sz w:val="24"/>
                <w:szCs w:val="24"/>
              </w:rPr>
              <w:t xml:space="preserve">,000 </w:t>
            </w:r>
            <w:r w:rsidRPr="00456221">
              <w:rPr>
                <w:rFonts w:eastAsia="Times New Roman" w:cs="Arial"/>
                <w:sz w:val="24"/>
                <w:szCs w:val="24"/>
              </w:rPr>
              <w:t xml:space="preserve">as </w:t>
            </w:r>
            <w:r w:rsidR="00564DB5" w:rsidRPr="00456221">
              <w:rPr>
                <w:rFonts w:eastAsia="Times New Roman" w:cs="Arial"/>
                <w:sz w:val="24"/>
                <w:szCs w:val="24"/>
              </w:rPr>
              <w:t xml:space="preserve">summarised in Appendix </w:t>
            </w:r>
            <w:r w:rsidR="00214DAF" w:rsidRPr="00456221">
              <w:rPr>
                <w:rFonts w:eastAsia="Times New Roman" w:cs="Arial"/>
                <w:sz w:val="24"/>
                <w:szCs w:val="24"/>
              </w:rPr>
              <w:t>4</w:t>
            </w:r>
            <w:r w:rsidR="00564DB5" w:rsidRPr="00456221">
              <w:rPr>
                <w:rFonts w:eastAsia="Times New Roman" w:cs="Arial"/>
                <w:sz w:val="24"/>
                <w:szCs w:val="24"/>
              </w:rPr>
              <w:t xml:space="preserve"> and</w:t>
            </w:r>
            <w:r w:rsidR="00564DB5" w:rsidRPr="00636695">
              <w:rPr>
                <w:rFonts w:eastAsia="Times New Roman" w:cs="Arial"/>
                <w:sz w:val="24"/>
                <w:szCs w:val="24"/>
              </w:rPr>
              <w:t xml:space="preserve"> </w:t>
            </w:r>
            <w:r w:rsidRPr="00636695">
              <w:rPr>
                <w:rFonts w:eastAsia="Times New Roman" w:cs="Arial"/>
                <w:sz w:val="24"/>
                <w:szCs w:val="24"/>
              </w:rPr>
              <w:t xml:space="preserve">detailed in </w:t>
            </w:r>
            <w:r w:rsidRPr="00456221">
              <w:rPr>
                <w:rFonts w:eastAsia="Times New Roman" w:cs="Arial"/>
                <w:sz w:val="24"/>
                <w:szCs w:val="24"/>
              </w:rPr>
              <w:t>section</w:t>
            </w:r>
            <w:r w:rsidR="00C44841" w:rsidRPr="00456221">
              <w:rPr>
                <w:rFonts w:eastAsia="Times New Roman" w:cs="Arial"/>
                <w:sz w:val="24"/>
                <w:szCs w:val="24"/>
              </w:rPr>
              <w:t xml:space="preserve"> </w:t>
            </w:r>
            <w:r w:rsidR="00C11DFD" w:rsidRPr="00456221">
              <w:rPr>
                <w:rFonts w:eastAsia="Times New Roman" w:cs="Arial"/>
                <w:sz w:val="24"/>
                <w:szCs w:val="24"/>
              </w:rPr>
              <w:t>8</w:t>
            </w:r>
            <w:r w:rsidRPr="00456221">
              <w:rPr>
                <w:rFonts w:eastAsia="Times New Roman" w:cs="Arial"/>
                <w:sz w:val="24"/>
                <w:szCs w:val="24"/>
              </w:rPr>
              <w:t>.</w:t>
            </w:r>
            <w:r w:rsidRPr="00636695">
              <w:rPr>
                <w:rFonts w:eastAsia="Times New Roman" w:cs="Arial"/>
                <w:sz w:val="24"/>
                <w:szCs w:val="24"/>
              </w:rPr>
              <w:t xml:space="preserve"> </w:t>
            </w:r>
          </w:p>
          <w:p w14:paraId="0FDC5CA1" w14:textId="1E30D705" w:rsidR="00752C3E" w:rsidRPr="00636695" w:rsidRDefault="00752C3E" w:rsidP="00752C3E">
            <w:pPr>
              <w:jc w:val="both"/>
              <w:rPr>
                <w:rFonts w:eastAsia="Times New Roman" w:cs="Arial"/>
                <w:sz w:val="24"/>
                <w:szCs w:val="24"/>
              </w:rPr>
            </w:pPr>
          </w:p>
        </w:tc>
      </w:tr>
      <w:tr w:rsidR="002828E0" w:rsidRPr="00301D4F" w14:paraId="1A55248C" w14:textId="77777777" w:rsidTr="00BF65A0">
        <w:trPr>
          <w:gridAfter w:val="1"/>
          <w:wAfter w:w="249" w:type="dxa"/>
        </w:trPr>
        <w:tc>
          <w:tcPr>
            <w:tcW w:w="885" w:type="dxa"/>
            <w:gridSpan w:val="2"/>
          </w:tcPr>
          <w:p w14:paraId="1A3CF65F" w14:textId="335ACF6F" w:rsidR="002828E0" w:rsidRPr="00636695" w:rsidRDefault="002828E0" w:rsidP="00573DBD">
            <w:pPr>
              <w:rPr>
                <w:rFonts w:eastAsia="Times New Roman" w:cs="Arial"/>
                <w:sz w:val="24"/>
                <w:szCs w:val="24"/>
              </w:rPr>
            </w:pPr>
            <w:r w:rsidRPr="00636695">
              <w:rPr>
                <w:rFonts w:eastAsia="Times New Roman" w:cs="Arial"/>
                <w:sz w:val="24"/>
                <w:szCs w:val="24"/>
              </w:rPr>
              <w:t>1.8</w:t>
            </w:r>
          </w:p>
        </w:tc>
        <w:tc>
          <w:tcPr>
            <w:tcW w:w="8931" w:type="dxa"/>
          </w:tcPr>
          <w:p w14:paraId="509C5F34" w14:textId="77777777" w:rsidR="002828E0" w:rsidRPr="00636695" w:rsidRDefault="002828E0" w:rsidP="0054433F">
            <w:pPr>
              <w:jc w:val="both"/>
              <w:rPr>
                <w:rFonts w:eastAsia="Times New Roman" w:cs="Arial"/>
                <w:sz w:val="24"/>
                <w:szCs w:val="24"/>
              </w:rPr>
            </w:pPr>
            <w:r w:rsidRPr="00636695">
              <w:rPr>
                <w:rFonts w:eastAsia="Times New Roman" w:cs="Arial"/>
                <w:sz w:val="24"/>
                <w:szCs w:val="24"/>
              </w:rPr>
              <w:t>The Capital Budget for 202</w:t>
            </w:r>
            <w:r w:rsidR="00B06496" w:rsidRPr="00636695">
              <w:rPr>
                <w:rFonts w:eastAsia="Times New Roman" w:cs="Arial"/>
                <w:sz w:val="24"/>
                <w:szCs w:val="24"/>
              </w:rPr>
              <w:t>3</w:t>
            </w:r>
            <w:r w:rsidRPr="00636695">
              <w:rPr>
                <w:rFonts w:eastAsia="Times New Roman" w:cs="Arial"/>
                <w:sz w:val="24"/>
                <w:szCs w:val="24"/>
              </w:rPr>
              <w:t>/2</w:t>
            </w:r>
            <w:r w:rsidR="00B06496" w:rsidRPr="00636695">
              <w:rPr>
                <w:rFonts w:eastAsia="Times New Roman" w:cs="Arial"/>
                <w:sz w:val="24"/>
                <w:szCs w:val="24"/>
              </w:rPr>
              <w:t>4</w:t>
            </w:r>
            <w:r w:rsidRPr="00636695">
              <w:rPr>
                <w:rFonts w:eastAsia="Times New Roman" w:cs="Arial"/>
                <w:sz w:val="24"/>
                <w:szCs w:val="24"/>
              </w:rPr>
              <w:t xml:space="preserve"> was approved by the Fire Authority at £</w:t>
            </w:r>
            <w:r w:rsidR="00772922" w:rsidRPr="00636695">
              <w:rPr>
                <w:rFonts w:eastAsia="Times New Roman" w:cs="Arial"/>
                <w:sz w:val="24"/>
                <w:szCs w:val="24"/>
              </w:rPr>
              <w:t>8</w:t>
            </w:r>
            <w:r w:rsidRPr="00636695">
              <w:rPr>
                <w:rFonts w:eastAsia="Times New Roman" w:cs="Arial"/>
                <w:sz w:val="24"/>
                <w:szCs w:val="24"/>
              </w:rPr>
              <w:t>,</w:t>
            </w:r>
            <w:r w:rsidR="00772922" w:rsidRPr="00636695">
              <w:rPr>
                <w:rFonts w:eastAsia="Times New Roman" w:cs="Arial"/>
                <w:sz w:val="24"/>
                <w:szCs w:val="24"/>
              </w:rPr>
              <w:t>421</w:t>
            </w:r>
            <w:r w:rsidRPr="00636695">
              <w:rPr>
                <w:rFonts w:eastAsia="Times New Roman" w:cs="Arial"/>
                <w:sz w:val="24"/>
                <w:szCs w:val="24"/>
              </w:rPr>
              <w:t>,000 and updated to £</w:t>
            </w:r>
            <w:r w:rsidR="00CD7730" w:rsidRPr="00636695">
              <w:rPr>
                <w:rFonts w:eastAsia="Times New Roman" w:cs="Arial"/>
                <w:sz w:val="24"/>
                <w:szCs w:val="24"/>
              </w:rPr>
              <w:t>8</w:t>
            </w:r>
            <w:r w:rsidRPr="00636695">
              <w:rPr>
                <w:rFonts w:eastAsia="Times New Roman" w:cs="Arial"/>
                <w:sz w:val="24"/>
                <w:szCs w:val="24"/>
              </w:rPr>
              <w:t>,</w:t>
            </w:r>
            <w:r w:rsidR="0054433F" w:rsidRPr="00636695">
              <w:rPr>
                <w:rFonts w:eastAsia="Times New Roman" w:cs="Arial"/>
                <w:sz w:val="24"/>
                <w:szCs w:val="24"/>
              </w:rPr>
              <w:t>934</w:t>
            </w:r>
            <w:r w:rsidRPr="00636695">
              <w:rPr>
                <w:rFonts w:eastAsia="Times New Roman" w:cs="Arial"/>
                <w:sz w:val="24"/>
                <w:szCs w:val="24"/>
              </w:rPr>
              <w:t>,000</w:t>
            </w:r>
            <w:r w:rsidR="00CD7730" w:rsidRPr="00636695">
              <w:rPr>
                <w:rFonts w:eastAsia="Times New Roman" w:cs="Arial"/>
                <w:sz w:val="24"/>
                <w:szCs w:val="24"/>
              </w:rPr>
              <w:t xml:space="preserve"> including slippage of £9</w:t>
            </w:r>
            <w:r w:rsidR="0054433F" w:rsidRPr="00636695">
              <w:rPr>
                <w:rFonts w:eastAsia="Times New Roman" w:cs="Arial"/>
                <w:sz w:val="24"/>
                <w:szCs w:val="24"/>
              </w:rPr>
              <w:t>75</w:t>
            </w:r>
            <w:r w:rsidR="00CD7730" w:rsidRPr="00636695">
              <w:rPr>
                <w:rFonts w:eastAsia="Times New Roman" w:cs="Arial"/>
                <w:sz w:val="24"/>
                <w:szCs w:val="24"/>
              </w:rPr>
              <w:t>,000 brought forward from 202</w:t>
            </w:r>
            <w:r w:rsidR="0054433F" w:rsidRPr="00636695">
              <w:rPr>
                <w:rFonts w:eastAsia="Times New Roman" w:cs="Arial"/>
                <w:sz w:val="24"/>
                <w:szCs w:val="24"/>
              </w:rPr>
              <w:t>2</w:t>
            </w:r>
            <w:r w:rsidR="00CD7730" w:rsidRPr="00636695">
              <w:rPr>
                <w:rFonts w:eastAsia="Times New Roman" w:cs="Arial"/>
                <w:sz w:val="24"/>
                <w:szCs w:val="24"/>
              </w:rPr>
              <w:t>/2</w:t>
            </w:r>
            <w:r w:rsidR="0054433F" w:rsidRPr="00636695">
              <w:rPr>
                <w:rFonts w:eastAsia="Times New Roman" w:cs="Arial"/>
                <w:sz w:val="24"/>
                <w:szCs w:val="24"/>
              </w:rPr>
              <w:t>3</w:t>
            </w:r>
            <w:r w:rsidR="00CD7730" w:rsidRPr="00636695">
              <w:rPr>
                <w:rFonts w:eastAsia="Times New Roman" w:cs="Arial"/>
                <w:sz w:val="24"/>
                <w:szCs w:val="24"/>
              </w:rPr>
              <w:t>, allocation of spend in advance of £</w:t>
            </w:r>
            <w:r w:rsidR="0054433F" w:rsidRPr="00636695">
              <w:rPr>
                <w:rFonts w:eastAsia="Times New Roman" w:cs="Arial"/>
                <w:sz w:val="24"/>
                <w:szCs w:val="24"/>
              </w:rPr>
              <w:t>462</w:t>
            </w:r>
            <w:r w:rsidR="00CD7730" w:rsidRPr="00636695">
              <w:rPr>
                <w:rFonts w:eastAsia="Times New Roman" w:cs="Arial"/>
                <w:sz w:val="24"/>
                <w:szCs w:val="24"/>
              </w:rPr>
              <w:t>,000 from 202</w:t>
            </w:r>
            <w:r w:rsidR="0054433F" w:rsidRPr="00636695">
              <w:rPr>
                <w:rFonts w:eastAsia="Times New Roman" w:cs="Arial"/>
                <w:sz w:val="24"/>
                <w:szCs w:val="24"/>
              </w:rPr>
              <w:t>2</w:t>
            </w:r>
            <w:r w:rsidR="00CD7730" w:rsidRPr="00636695">
              <w:rPr>
                <w:rFonts w:eastAsia="Times New Roman" w:cs="Arial"/>
                <w:sz w:val="24"/>
                <w:szCs w:val="24"/>
              </w:rPr>
              <w:t>/2</w:t>
            </w:r>
            <w:r w:rsidR="0054433F" w:rsidRPr="00636695">
              <w:rPr>
                <w:rFonts w:eastAsia="Times New Roman" w:cs="Arial"/>
                <w:sz w:val="24"/>
                <w:szCs w:val="24"/>
              </w:rPr>
              <w:t>3.</w:t>
            </w:r>
            <w:r w:rsidR="00CD7730" w:rsidRPr="00636695">
              <w:rPr>
                <w:rFonts w:eastAsia="Times New Roman" w:cs="Arial"/>
                <w:sz w:val="24"/>
                <w:szCs w:val="24"/>
              </w:rPr>
              <w:t xml:space="preserve"> </w:t>
            </w:r>
          </w:p>
          <w:p w14:paraId="2FC45748" w14:textId="214BBB1A" w:rsidR="0054433F" w:rsidRPr="00636695" w:rsidRDefault="00FC78B7" w:rsidP="0054433F">
            <w:pPr>
              <w:jc w:val="both"/>
              <w:rPr>
                <w:rFonts w:eastAsia="Times New Roman" w:cs="Arial"/>
                <w:sz w:val="24"/>
                <w:szCs w:val="24"/>
              </w:rPr>
            </w:pPr>
            <w:r>
              <w:rPr>
                <w:rFonts w:eastAsia="Times New Roman" w:cs="Arial"/>
                <w:sz w:val="24"/>
                <w:szCs w:val="24"/>
              </w:rPr>
              <w:t xml:space="preserve">                                                                                                                                                                                                                                                                                                                                                                                                         </w:t>
            </w:r>
          </w:p>
        </w:tc>
      </w:tr>
      <w:tr w:rsidR="002828E0" w:rsidRPr="00301D4F" w14:paraId="089A3404" w14:textId="77777777" w:rsidTr="00BF65A0">
        <w:trPr>
          <w:gridAfter w:val="1"/>
          <w:wAfter w:w="249" w:type="dxa"/>
        </w:trPr>
        <w:tc>
          <w:tcPr>
            <w:tcW w:w="885" w:type="dxa"/>
            <w:gridSpan w:val="2"/>
          </w:tcPr>
          <w:p w14:paraId="121B37C3" w14:textId="5375B796" w:rsidR="002828E0" w:rsidRPr="00FC78B7" w:rsidRDefault="002828E0" w:rsidP="00573DBD">
            <w:pPr>
              <w:rPr>
                <w:rFonts w:eastAsia="Times New Roman" w:cs="Arial"/>
                <w:sz w:val="24"/>
                <w:szCs w:val="24"/>
              </w:rPr>
            </w:pPr>
            <w:r w:rsidRPr="00FC78B7">
              <w:rPr>
                <w:rFonts w:eastAsia="Times New Roman" w:cs="Arial"/>
                <w:sz w:val="24"/>
                <w:szCs w:val="24"/>
              </w:rPr>
              <w:t>1.9</w:t>
            </w:r>
          </w:p>
        </w:tc>
        <w:tc>
          <w:tcPr>
            <w:tcW w:w="8931" w:type="dxa"/>
          </w:tcPr>
          <w:p w14:paraId="207667C3" w14:textId="48C96797" w:rsidR="002828E0" w:rsidRPr="00FC78B7" w:rsidRDefault="002828E0" w:rsidP="002828E0">
            <w:pPr>
              <w:jc w:val="both"/>
              <w:rPr>
                <w:rFonts w:eastAsia="Times New Roman" w:cs="Arial"/>
                <w:sz w:val="24"/>
                <w:szCs w:val="24"/>
              </w:rPr>
            </w:pPr>
            <w:r w:rsidRPr="00FC78B7">
              <w:rPr>
                <w:rFonts w:eastAsia="Times New Roman" w:cs="Arial"/>
                <w:sz w:val="24"/>
                <w:szCs w:val="24"/>
              </w:rPr>
              <w:t xml:space="preserve">A number of Revenue Budget and Capital Programme risks are set out in section 3 which will be monitored throughout the year. The updated position on Contingency, Reserves, Borrowing and Investments is provided at sections </w:t>
            </w:r>
            <w:r w:rsidR="00FC78B7" w:rsidRPr="00FC78B7">
              <w:rPr>
                <w:rFonts w:eastAsia="Times New Roman" w:cs="Arial"/>
                <w:sz w:val="24"/>
                <w:szCs w:val="24"/>
              </w:rPr>
              <w:t>7</w:t>
            </w:r>
            <w:r w:rsidRPr="00FC78B7">
              <w:rPr>
                <w:rFonts w:eastAsia="Times New Roman" w:cs="Arial"/>
                <w:sz w:val="24"/>
                <w:szCs w:val="24"/>
              </w:rPr>
              <w:t xml:space="preserve">, </w:t>
            </w:r>
            <w:r w:rsidR="00FC78B7" w:rsidRPr="00FC78B7">
              <w:rPr>
                <w:rFonts w:eastAsia="Times New Roman" w:cs="Arial"/>
                <w:sz w:val="24"/>
                <w:szCs w:val="24"/>
              </w:rPr>
              <w:t>10</w:t>
            </w:r>
            <w:r w:rsidRPr="00FC78B7">
              <w:rPr>
                <w:rFonts w:eastAsia="Times New Roman" w:cs="Arial"/>
                <w:sz w:val="24"/>
                <w:szCs w:val="24"/>
              </w:rPr>
              <w:t xml:space="preserve"> and </w:t>
            </w:r>
            <w:r w:rsidR="00FC78B7" w:rsidRPr="00FC78B7">
              <w:rPr>
                <w:rFonts w:eastAsia="Times New Roman" w:cs="Arial"/>
                <w:sz w:val="24"/>
                <w:szCs w:val="24"/>
              </w:rPr>
              <w:t>11</w:t>
            </w:r>
            <w:r w:rsidRPr="00FC78B7">
              <w:rPr>
                <w:rFonts w:eastAsia="Times New Roman" w:cs="Arial"/>
                <w:sz w:val="24"/>
                <w:szCs w:val="24"/>
              </w:rPr>
              <w:t xml:space="preserve"> respectively.</w:t>
            </w:r>
          </w:p>
          <w:p w14:paraId="3936DBC7" w14:textId="77777777" w:rsidR="002828E0" w:rsidRPr="00FC78B7" w:rsidRDefault="002828E0" w:rsidP="00573DBD">
            <w:pPr>
              <w:jc w:val="both"/>
              <w:rPr>
                <w:rFonts w:eastAsia="Times New Roman" w:cs="Arial"/>
                <w:sz w:val="24"/>
                <w:szCs w:val="24"/>
              </w:rPr>
            </w:pPr>
          </w:p>
        </w:tc>
      </w:tr>
      <w:tr w:rsidR="002828E0" w:rsidRPr="00301D4F" w14:paraId="5269EA19" w14:textId="77777777" w:rsidTr="00BF65A0">
        <w:trPr>
          <w:gridAfter w:val="1"/>
          <w:wAfter w:w="249" w:type="dxa"/>
        </w:trPr>
        <w:tc>
          <w:tcPr>
            <w:tcW w:w="885" w:type="dxa"/>
            <w:gridSpan w:val="2"/>
          </w:tcPr>
          <w:p w14:paraId="27528A36" w14:textId="5F07512D" w:rsidR="002828E0" w:rsidRPr="000677F0" w:rsidRDefault="002828E0" w:rsidP="00573DBD">
            <w:pPr>
              <w:rPr>
                <w:rFonts w:eastAsia="Times New Roman" w:cs="Arial"/>
                <w:sz w:val="24"/>
                <w:szCs w:val="24"/>
              </w:rPr>
            </w:pPr>
            <w:r w:rsidRPr="000677F0">
              <w:rPr>
                <w:rFonts w:eastAsia="Times New Roman" w:cs="Arial"/>
                <w:b/>
                <w:sz w:val="24"/>
                <w:szCs w:val="24"/>
              </w:rPr>
              <w:t>2.</w:t>
            </w:r>
          </w:p>
        </w:tc>
        <w:tc>
          <w:tcPr>
            <w:tcW w:w="8931" w:type="dxa"/>
          </w:tcPr>
          <w:p w14:paraId="248D0E4A" w14:textId="2FBBC6BB" w:rsidR="002828E0" w:rsidRPr="000677F0" w:rsidRDefault="002828E0" w:rsidP="00573DBD">
            <w:pPr>
              <w:jc w:val="both"/>
              <w:rPr>
                <w:rFonts w:eastAsia="Times New Roman" w:cs="Arial"/>
                <w:sz w:val="24"/>
                <w:szCs w:val="24"/>
              </w:rPr>
            </w:pPr>
            <w:r w:rsidRPr="000677F0">
              <w:rPr>
                <w:rFonts w:eastAsia="Times New Roman" w:cs="Arial"/>
                <w:b/>
                <w:sz w:val="24"/>
                <w:szCs w:val="24"/>
                <w:u w:val="single"/>
              </w:rPr>
              <w:t>REVENUE BUDGET COMMENTARY</w:t>
            </w:r>
          </w:p>
        </w:tc>
      </w:tr>
      <w:tr w:rsidR="002828E0" w:rsidRPr="00301D4F" w14:paraId="6319DF9C" w14:textId="77777777" w:rsidTr="00BF65A0">
        <w:trPr>
          <w:gridAfter w:val="1"/>
          <w:wAfter w:w="249" w:type="dxa"/>
        </w:trPr>
        <w:tc>
          <w:tcPr>
            <w:tcW w:w="885" w:type="dxa"/>
            <w:gridSpan w:val="2"/>
          </w:tcPr>
          <w:p w14:paraId="432E2854" w14:textId="4BE658C4" w:rsidR="002828E0" w:rsidRPr="00301D4F" w:rsidRDefault="002828E0" w:rsidP="00573DBD">
            <w:pPr>
              <w:rPr>
                <w:rFonts w:eastAsia="Times New Roman" w:cs="Arial"/>
                <w:sz w:val="24"/>
                <w:szCs w:val="24"/>
                <w:highlight w:val="yellow"/>
              </w:rPr>
            </w:pPr>
          </w:p>
        </w:tc>
        <w:tc>
          <w:tcPr>
            <w:tcW w:w="8931" w:type="dxa"/>
          </w:tcPr>
          <w:p w14:paraId="5CCDED6A" w14:textId="5EE82B7F" w:rsidR="002828E0" w:rsidRPr="00301D4F" w:rsidRDefault="002828E0" w:rsidP="00573DBD">
            <w:pPr>
              <w:jc w:val="both"/>
              <w:rPr>
                <w:rFonts w:eastAsia="Times New Roman" w:cs="Arial"/>
                <w:sz w:val="24"/>
                <w:szCs w:val="24"/>
                <w:highlight w:val="yellow"/>
              </w:rPr>
            </w:pPr>
          </w:p>
        </w:tc>
      </w:tr>
      <w:tr w:rsidR="002828E0" w:rsidRPr="00301D4F" w14:paraId="1B475E17" w14:textId="77777777" w:rsidTr="000E60F8">
        <w:trPr>
          <w:gridAfter w:val="1"/>
          <w:wAfter w:w="249" w:type="dxa"/>
          <w:trHeight w:val="480"/>
        </w:trPr>
        <w:tc>
          <w:tcPr>
            <w:tcW w:w="885" w:type="dxa"/>
            <w:gridSpan w:val="2"/>
          </w:tcPr>
          <w:p w14:paraId="76E51FE4" w14:textId="0BD98E3E" w:rsidR="002828E0" w:rsidRPr="00847386" w:rsidRDefault="002828E0" w:rsidP="00573DBD">
            <w:pPr>
              <w:rPr>
                <w:rFonts w:eastAsia="Times New Roman" w:cs="Arial"/>
                <w:sz w:val="24"/>
                <w:szCs w:val="24"/>
              </w:rPr>
            </w:pPr>
            <w:r w:rsidRPr="00847386">
              <w:rPr>
                <w:rFonts w:eastAsia="Times New Roman" w:cs="Arial"/>
                <w:sz w:val="24"/>
                <w:szCs w:val="24"/>
              </w:rPr>
              <w:t>2.1</w:t>
            </w:r>
          </w:p>
        </w:tc>
        <w:tc>
          <w:tcPr>
            <w:tcW w:w="8931" w:type="dxa"/>
          </w:tcPr>
          <w:p w14:paraId="5B69D61D" w14:textId="4136CC83" w:rsidR="002828E0" w:rsidRPr="00847386" w:rsidRDefault="002828E0" w:rsidP="004077D0">
            <w:pPr>
              <w:jc w:val="both"/>
              <w:rPr>
                <w:rFonts w:eastAsia="Times New Roman" w:cs="Arial"/>
                <w:sz w:val="24"/>
                <w:szCs w:val="24"/>
              </w:rPr>
            </w:pPr>
            <w:r w:rsidRPr="00847386">
              <w:rPr>
                <w:rFonts w:eastAsia="Times New Roman" w:cs="Arial"/>
                <w:sz w:val="24"/>
                <w:szCs w:val="24"/>
              </w:rPr>
              <w:t xml:space="preserve">The Revenue Budget is projected to </w:t>
            </w:r>
            <w:r w:rsidR="00EE2D23" w:rsidRPr="00847386">
              <w:rPr>
                <w:rFonts w:eastAsia="Times New Roman" w:cs="Arial"/>
                <w:sz w:val="24"/>
                <w:szCs w:val="24"/>
              </w:rPr>
              <w:t>unders</w:t>
            </w:r>
            <w:r w:rsidR="005E7982" w:rsidRPr="00847386">
              <w:rPr>
                <w:rFonts w:eastAsia="Times New Roman" w:cs="Arial"/>
                <w:sz w:val="24"/>
                <w:szCs w:val="24"/>
              </w:rPr>
              <w:t>pend</w:t>
            </w:r>
            <w:r w:rsidR="00D712D0" w:rsidRPr="00847386">
              <w:rPr>
                <w:rFonts w:eastAsia="Times New Roman" w:cs="Arial"/>
                <w:sz w:val="24"/>
                <w:szCs w:val="24"/>
              </w:rPr>
              <w:t xml:space="preserve"> </w:t>
            </w:r>
            <w:r w:rsidRPr="00847386">
              <w:rPr>
                <w:rFonts w:eastAsia="Times New Roman" w:cs="Arial"/>
                <w:sz w:val="24"/>
                <w:szCs w:val="24"/>
              </w:rPr>
              <w:t>by £</w:t>
            </w:r>
            <w:r w:rsidR="00847386" w:rsidRPr="00847386">
              <w:rPr>
                <w:rFonts w:eastAsia="Times New Roman" w:cs="Arial"/>
                <w:sz w:val="24"/>
                <w:szCs w:val="24"/>
              </w:rPr>
              <w:t>4</w:t>
            </w:r>
            <w:r w:rsidR="00F64CC8">
              <w:rPr>
                <w:rFonts w:eastAsia="Times New Roman" w:cs="Arial"/>
                <w:sz w:val="24"/>
                <w:szCs w:val="24"/>
              </w:rPr>
              <w:t>3</w:t>
            </w:r>
            <w:r w:rsidR="00095963" w:rsidRPr="00847386">
              <w:rPr>
                <w:rFonts w:eastAsia="Times New Roman" w:cs="Arial"/>
                <w:sz w:val="24"/>
                <w:szCs w:val="24"/>
              </w:rPr>
              <w:t>,000</w:t>
            </w:r>
            <w:r w:rsidR="00FF1D9D" w:rsidRPr="00847386">
              <w:rPr>
                <w:rFonts w:eastAsia="Times New Roman" w:cs="Arial"/>
                <w:sz w:val="24"/>
                <w:szCs w:val="24"/>
              </w:rPr>
              <w:t xml:space="preserve">.  </w:t>
            </w:r>
            <w:r w:rsidRPr="00847386">
              <w:rPr>
                <w:rFonts w:eastAsia="Times New Roman" w:cs="Arial"/>
                <w:sz w:val="24"/>
                <w:szCs w:val="24"/>
              </w:rPr>
              <w:t xml:space="preserve">This is summarised across </w:t>
            </w:r>
            <w:r w:rsidR="00AD5A2A">
              <w:rPr>
                <w:rFonts w:eastAsia="Times New Roman" w:cs="Arial"/>
                <w:sz w:val="24"/>
                <w:szCs w:val="24"/>
              </w:rPr>
              <w:t>directorates</w:t>
            </w:r>
            <w:r w:rsidR="00AD5A2A" w:rsidRPr="00847386">
              <w:rPr>
                <w:rFonts w:eastAsia="Times New Roman" w:cs="Arial"/>
                <w:sz w:val="24"/>
                <w:szCs w:val="24"/>
              </w:rPr>
              <w:t xml:space="preserve"> </w:t>
            </w:r>
            <w:r w:rsidRPr="00847386">
              <w:rPr>
                <w:rFonts w:eastAsia="Times New Roman" w:cs="Arial"/>
                <w:sz w:val="24"/>
                <w:szCs w:val="24"/>
              </w:rPr>
              <w:t xml:space="preserve">in Appendix 1 and detailed explanations are provided below. </w:t>
            </w:r>
          </w:p>
          <w:p w14:paraId="4F055980" w14:textId="788FF76D" w:rsidR="00363C52" w:rsidRPr="00847386" w:rsidRDefault="00363C52" w:rsidP="000E60F8">
            <w:pPr>
              <w:jc w:val="both"/>
              <w:rPr>
                <w:rFonts w:eastAsia="Times New Roman" w:cs="Arial"/>
                <w:sz w:val="24"/>
                <w:szCs w:val="24"/>
              </w:rPr>
            </w:pPr>
          </w:p>
        </w:tc>
      </w:tr>
      <w:tr w:rsidR="002349F2" w:rsidRPr="00301D4F" w14:paraId="205DC46C" w14:textId="77777777" w:rsidTr="000E60F8">
        <w:trPr>
          <w:gridAfter w:val="1"/>
          <w:wAfter w:w="249" w:type="dxa"/>
          <w:trHeight w:val="480"/>
        </w:trPr>
        <w:tc>
          <w:tcPr>
            <w:tcW w:w="885" w:type="dxa"/>
            <w:gridSpan w:val="2"/>
          </w:tcPr>
          <w:p w14:paraId="3DE4FA75" w14:textId="0278760A" w:rsidR="002349F2" w:rsidRPr="00313C53" w:rsidRDefault="002349F2" w:rsidP="00573DBD">
            <w:pPr>
              <w:rPr>
                <w:rFonts w:eastAsia="Times New Roman" w:cs="Arial"/>
                <w:sz w:val="24"/>
                <w:szCs w:val="24"/>
              </w:rPr>
            </w:pPr>
            <w:r w:rsidRPr="00313C53">
              <w:rPr>
                <w:rFonts w:eastAsia="Times New Roman" w:cs="Arial"/>
                <w:sz w:val="24"/>
                <w:szCs w:val="24"/>
              </w:rPr>
              <w:t>2.2</w:t>
            </w:r>
          </w:p>
        </w:tc>
        <w:tc>
          <w:tcPr>
            <w:tcW w:w="8931" w:type="dxa"/>
          </w:tcPr>
          <w:p w14:paraId="60809ED6" w14:textId="09AB3096" w:rsidR="00313C53" w:rsidRPr="00313C53" w:rsidRDefault="00313C53" w:rsidP="004077D0">
            <w:pPr>
              <w:jc w:val="both"/>
              <w:rPr>
                <w:rFonts w:eastAsia="Times New Roman" w:cs="Arial"/>
                <w:sz w:val="24"/>
                <w:szCs w:val="24"/>
              </w:rPr>
            </w:pPr>
            <w:r w:rsidRPr="00313C53">
              <w:rPr>
                <w:rFonts w:eastAsia="Times New Roman" w:cs="Arial"/>
                <w:sz w:val="24"/>
                <w:szCs w:val="24"/>
              </w:rPr>
              <w:t xml:space="preserve">In the previous report a forecast of £150,000 had been included for the green book pay award, based on an award of 6%.  </w:t>
            </w:r>
          </w:p>
          <w:p w14:paraId="7BC78A82" w14:textId="77777777" w:rsidR="00313C53" w:rsidRPr="00313C53" w:rsidRDefault="00313C53" w:rsidP="004077D0">
            <w:pPr>
              <w:jc w:val="both"/>
              <w:rPr>
                <w:rFonts w:eastAsia="Times New Roman" w:cs="Arial"/>
                <w:sz w:val="24"/>
                <w:szCs w:val="24"/>
              </w:rPr>
            </w:pPr>
          </w:p>
          <w:p w14:paraId="194553AA" w14:textId="78D1AD07" w:rsidR="00456221" w:rsidRDefault="00313C53" w:rsidP="004077D0">
            <w:pPr>
              <w:jc w:val="both"/>
              <w:rPr>
                <w:rFonts w:eastAsia="Times New Roman" w:cs="Arial"/>
                <w:sz w:val="24"/>
                <w:szCs w:val="24"/>
              </w:rPr>
            </w:pPr>
            <w:r w:rsidRPr="00313C53">
              <w:rPr>
                <w:rFonts w:eastAsia="Times New Roman" w:cs="Arial"/>
                <w:sz w:val="24"/>
                <w:szCs w:val="24"/>
              </w:rPr>
              <w:t xml:space="preserve">The pay award was agreed at £1,925 and directorate forecasts have been updated to include the impact of the pay award.  </w:t>
            </w:r>
            <w:r w:rsidR="00456221">
              <w:rPr>
                <w:rFonts w:eastAsia="Times New Roman" w:cs="Arial"/>
                <w:sz w:val="24"/>
                <w:szCs w:val="24"/>
              </w:rPr>
              <w:t>Budget of £120,000 has been transferred from contingency to departments to cover the pressure of the pay award above the 4% provided within the original 2023/34 budget.</w:t>
            </w:r>
          </w:p>
          <w:p w14:paraId="14692283" w14:textId="6E7AF628" w:rsidR="002349F2" w:rsidRPr="00313C53" w:rsidRDefault="002349F2" w:rsidP="00456221">
            <w:pPr>
              <w:jc w:val="both"/>
              <w:rPr>
                <w:rFonts w:eastAsia="Times New Roman" w:cs="Arial"/>
                <w:sz w:val="24"/>
                <w:szCs w:val="24"/>
              </w:rPr>
            </w:pPr>
          </w:p>
        </w:tc>
      </w:tr>
      <w:tr w:rsidR="00456221" w:rsidRPr="00301D4F" w14:paraId="79FABF0E" w14:textId="77777777" w:rsidTr="000E60F8">
        <w:trPr>
          <w:gridAfter w:val="1"/>
          <w:wAfter w:w="249" w:type="dxa"/>
          <w:trHeight w:val="480"/>
        </w:trPr>
        <w:tc>
          <w:tcPr>
            <w:tcW w:w="885" w:type="dxa"/>
            <w:gridSpan w:val="2"/>
          </w:tcPr>
          <w:p w14:paraId="2A7AD06C" w14:textId="7597A13F" w:rsidR="00456221" w:rsidRPr="00313C53" w:rsidRDefault="00AA68D6" w:rsidP="00573DBD">
            <w:pPr>
              <w:rPr>
                <w:rFonts w:eastAsia="Times New Roman" w:cs="Arial"/>
                <w:sz w:val="24"/>
                <w:szCs w:val="24"/>
              </w:rPr>
            </w:pPr>
            <w:r>
              <w:rPr>
                <w:rFonts w:eastAsia="Times New Roman" w:cs="Arial"/>
                <w:sz w:val="24"/>
                <w:szCs w:val="24"/>
              </w:rPr>
              <w:t>2.3</w:t>
            </w:r>
          </w:p>
        </w:tc>
        <w:tc>
          <w:tcPr>
            <w:tcW w:w="8931" w:type="dxa"/>
          </w:tcPr>
          <w:p w14:paraId="5931DBA6" w14:textId="4318DF16" w:rsidR="00456221" w:rsidRDefault="00EB2627" w:rsidP="004077D0">
            <w:pPr>
              <w:jc w:val="both"/>
              <w:rPr>
                <w:rFonts w:eastAsia="Times New Roman" w:cs="Arial"/>
                <w:sz w:val="24"/>
                <w:szCs w:val="24"/>
              </w:rPr>
            </w:pPr>
            <w:r>
              <w:rPr>
                <w:rFonts w:eastAsia="Times New Roman" w:cs="Arial"/>
                <w:sz w:val="24"/>
                <w:szCs w:val="24"/>
              </w:rPr>
              <w:t xml:space="preserve">The total </w:t>
            </w:r>
            <w:r w:rsidR="00B42F63">
              <w:rPr>
                <w:rFonts w:eastAsia="Times New Roman" w:cs="Arial"/>
                <w:sz w:val="24"/>
                <w:szCs w:val="24"/>
              </w:rPr>
              <w:t xml:space="preserve">additional </w:t>
            </w:r>
            <w:r>
              <w:rPr>
                <w:rFonts w:eastAsia="Times New Roman" w:cs="Arial"/>
                <w:sz w:val="24"/>
                <w:szCs w:val="24"/>
              </w:rPr>
              <w:t>cost incurred in relation to the fire at the Royal Albion Hotel in Brighton is £19,000 and this is included within the forecast.  Overtime costs were £6,000, with a further £7,000 on-call costs providing support and standby moves and £3,500 on recall to duty.  Other spends were incurred for fuel, equipment and fireground feeding.</w:t>
            </w:r>
            <w:r w:rsidR="00B42F63">
              <w:rPr>
                <w:rFonts w:eastAsia="Times New Roman" w:cs="Arial"/>
                <w:sz w:val="24"/>
                <w:szCs w:val="24"/>
              </w:rPr>
              <w:t xml:space="preserve">  This figure does not include costs already included within the revenue budget e.g. crews already on duty during the incident.  There are no additional costs relating to over the border assistance provided by other fire &amp; rescue services.</w:t>
            </w:r>
          </w:p>
          <w:p w14:paraId="449A9960" w14:textId="15B19871" w:rsidR="00EB2627" w:rsidRPr="00313C53" w:rsidRDefault="00EB2627" w:rsidP="004077D0">
            <w:pPr>
              <w:jc w:val="both"/>
              <w:rPr>
                <w:rFonts w:eastAsia="Times New Roman" w:cs="Arial"/>
                <w:sz w:val="24"/>
                <w:szCs w:val="24"/>
              </w:rPr>
            </w:pPr>
          </w:p>
        </w:tc>
      </w:tr>
      <w:tr w:rsidR="00DC0A3E" w:rsidRPr="00301D4F" w14:paraId="16947E6C" w14:textId="77777777" w:rsidTr="00BF65A0">
        <w:trPr>
          <w:gridAfter w:val="1"/>
          <w:wAfter w:w="249" w:type="dxa"/>
        </w:trPr>
        <w:tc>
          <w:tcPr>
            <w:tcW w:w="885" w:type="dxa"/>
            <w:gridSpan w:val="2"/>
          </w:tcPr>
          <w:p w14:paraId="6E2D0791" w14:textId="2A07AFA0" w:rsidR="00DC0A3E" w:rsidRPr="00EB2627" w:rsidRDefault="00DC0A3E" w:rsidP="00573DBD">
            <w:pPr>
              <w:rPr>
                <w:rFonts w:eastAsia="Times New Roman" w:cs="Arial"/>
                <w:sz w:val="24"/>
                <w:szCs w:val="24"/>
              </w:rPr>
            </w:pPr>
            <w:r w:rsidRPr="00EB2627">
              <w:rPr>
                <w:rFonts w:eastAsia="Times New Roman" w:cs="Arial"/>
                <w:sz w:val="24"/>
                <w:szCs w:val="24"/>
              </w:rPr>
              <w:t>2.</w:t>
            </w:r>
            <w:r w:rsidR="00AA68D6" w:rsidRPr="00EB2627">
              <w:rPr>
                <w:rFonts w:eastAsia="Times New Roman" w:cs="Arial"/>
                <w:sz w:val="24"/>
                <w:szCs w:val="24"/>
              </w:rPr>
              <w:t>4</w:t>
            </w:r>
          </w:p>
        </w:tc>
        <w:tc>
          <w:tcPr>
            <w:tcW w:w="8931" w:type="dxa"/>
          </w:tcPr>
          <w:p w14:paraId="52909A0C" w14:textId="524273A4" w:rsidR="00DC0A3E" w:rsidRPr="00EB2627" w:rsidRDefault="00DC0A3E" w:rsidP="00A6658D">
            <w:pPr>
              <w:jc w:val="both"/>
              <w:rPr>
                <w:rFonts w:eastAsia="Times New Roman" w:cs="Arial"/>
                <w:bCs/>
                <w:sz w:val="24"/>
                <w:szCs w:val="24"/>
              </w:rPr>
            </w:pPr>
            <w:r w:rsidRPr="00EB2627">
              <w:rPr>
                <w:rFonts w:eastAsia="Times New Roman" w:cs="Arial"/>
                <w:b/>
                <w:sz w:val="24"/>
                <w:szCs w:val="24"/>
              </w:rPr>
              <w:t xml:space="preserve">People Services: </w:t>
            </w:r>
            <w:r w:rsidRPr="00EB2627">
              <w:rPr>
                <w:rFonts w:eastAsia="Times New Roman" w:cs="Arial"/>
                <w:bCs/>
                <w:sz w:val="24"/>
                <w:szCs w:val="24"/>
              </w:rPr>
              <w:t xml:space="preserve">Expected </w:t>
            </w:r>
            <w:r w:rsidR="00C7510B" w:rsidRPr="00EB2627">
              <w:rPr>
                <w:rFonts w:eastAsia="Times New Roman" w:cs="Arial"/>
                <w:bCs/>
                <w:sz w:val="24"/>
                <w:szCs w:val="24"/>
              </w:rPr>
              <w:t>overspend of £</w:t>
            </w:r>
            <w:r w:rsidR="00E53291" w:rsidRPr="00EB2627">
              <w:rPr>
                <w:rFonts w:eastAsia="Times New Roman" w:cs="Arial"/>
                <w:bCs/>
                <w:sz w:val="24"/>
                <w:szCs w:val="24"/>
              </w:rPr>
              <w:t>79</w:t>
            </w:r>
            <w:r w:rsidR="00C7510B" w:rsidRPr="00EB2627">
              <w:rPr>
                <w:rFonts w:eastAsia="Times New Roman" w:cs="Arial"/>
                <w:bCs/>
                <w:sz w:val="24"/>
                <w:szCs w:val="24"/>
              </w:rPr>
              <w:t>,000</w:t>
            </w:r>
            <w:r w:rsidRPr="00EB2627">
              <w:rPr>
                <w:rFonts w:eastAsia="Times New Roman" w:cs="Arial"/>
                <w:bCs/>
                <w:sz w:val="24"/>
                <w:szCs w:val="24"/>
              </w:rPr>
              <w:t>, as follows:</w:t>
            </w:r>
          </w:p>
          <w:p w14:paraId="5088438E" w14:textId="393F75A2" w:rsidR="00DC0A3E" w:rsidRPr="00EB2627" w:rsidRDefault="00DC0A3E" w:rsidP="00A6658D">
            <w:pPr>
              <w:jc w:val="both"/>
              <w:rPr>
                <w:rFonts w:eastAsia="Times New Roman" w:cs="Arial"/>
                <w:bCs/>
                <w:sz w:val="24"/>
                <w:szCs w:val="24"/>
              </w:rPr>
            </w:pPr>
          </w:p>
        </w:tc>
      </w:tr>
      <w:tr w:rsidR="00E15BBD" w:rsidRPr="00301D4F" w14:paraId="2F508181" w14:textId="77777777" w:rsidTr="00BF65A0">
        <w:trPr>
          <w:gridAfter w:val="1"/>
          <w:wAfter w:w="249" w:type="dxa"/>
        </w:trPr>
        <w:tc>
          <w:tcPr>
            <w:tcW w:w="885" w:type="dxa"/>
            <w:gridSpan w:val="2"/>
          </w:tcPr>
          <w:p w14:paraId="214AEC94" w14:textId="2BB58830" w:rsidR="00E15BBD" w:rsidRPr="00BE3598" w:rsidRDefault="00F20BB0" w:rsidP="00573DBD">
            <w:pPr>
              <w:rPr>
                <w:rFonts w:eastAsia="Times New Roman" w:cs="Arial"/>
                <w:sz w:val="24"/>
                <w:szCs w:val="24"/>
              </w:rPr>
            </w:pPr>
            <w:r w:rsidRPr="00BE3598">
              <w:rPr>
                <w:rFonts w:eastAsia="Times New Roman" w:cs="Arial"/>
                <w:sz w:val="24"/>
                <w:szCs w:val="24"/>
              </w:rPr>
              <w:lastRenderedPageBreak/>
              <w:t>2.</w:t>
            </w:r>
            <w:r w:rsidR="00AA68D6" w:rsidRPr="00BE3598">
              <w:rPr>
                <w:rFonts w:eastAsia="Times New Roman" w:cs="Arial"/>
                <w:sz w:val="24"/>
                <w:szCs w:val="24"/>
              </w:rPr>
              <w:t>4</w:t>
            </w:r>
            <w:r w:rsidRPr="00BE3598">
              <w:rPr>
                <w:rFonts w:eastAsia="Times New Roman" w:cs="Arial"/>
                <w:sz w:val="24"/>
                <w:szCs w:val="24"/>
              </w:rPr>
              <w:t>.1</w:t>
            </w:r>
          </w:p>
        </w:tc>
        <w:tc>
          <w:tcPr>
            <w:tcW w:w="8931" w:type="dxa"/>
          </w:tcPr>
          <w:p w14:paraId="5262B1EC" w14:textId="01777AFF" w:rsidR="00B87E81" w:rsidRPr="00BE3598" w:rsidRDefault="00F20BB0" w:rsidP="00BE3598">
            <w:pPr>
              <w:jc w:val="both"/>
              <w:rPr>
                <w:rFonts w:eastAsia="Times New Roman" w:cs="Arial"/>
                <w:sz w:val="24"/>
                <w:szCs w:val="24"/>
              </w:rPr>
            </w:pPr>
            <w:r w:rsidRPr="00BE3598">
              <w:rPr>
                <w:rFonts w:eastAsia="Times New Roman" w:cs="Arial"/>
                <w:b/>
                <w:bCs/>
                <w:sz w:val="24"/>
                <w:szCs w:val="24"/>
              </w:rPr>
              <w:t>HR</w:t>
            </w:r>
            <w:r w:rsidR="00C7510B" w:rsidRPr="00BE3598">
              <w:rPr>
                <w:rFonts w:eastAsia="Times New Roman" w:cs="Arial"/>
                <w:b/>
                <w:bCs/>
                <w:sz w:val="24"/>
                <w:szCs w:val="24"/>
              </w:rPr>
              <w:t xml:space="preserve">: </w:t>
            </w:r>
            <w:r w:rsidR="00C7510B" w:rsidRPr="00BE3598">
              <w:rPr>
                <w:rFonts w:eastAsia="Times New Roman" w:cs="Arial"/>
                <w:sz w:val="24"/>
                <w:szCs w:val="24"/>
              </w:rPr>
              <w:t>Expected underspend of £</w:t>
            </w:r>
            <w:r w:rsidR="00E53291" w:rsidRPr="00BE3598">
              <w:rPr>
                <w:rFonts w:eastAsia="Times New Roman" w:cs="Arial"/>
                <w:sz w:val="24"/>
                <w:szCs w:val="24"/>
              </w:rPr>
              <w:t>50</w:t>
            </w:r>
            <w:r w:rsidR="00C7510B" w:rsidRPr="00BE3598">
              <w:rPr>
                <w:rFonts w:eastAsia="Times New Roman" w:cs="Arial"/>
                <w:sz w:val="24"/>
                <w:szCs w:val="24"/>
              </w:rPr>
              <w:t xml:space="preserve">,000 (previous forecast </w:t>
            </w:r>
            <w:r w:rsidR="00996910" w:rsidRPr="00BE3598">
              <w:rPr>
                <w:rFonts w:eastAsia="Times New Roman" w:cs="Arial"/>
                <w:sz w:val="24"/>
                <w:szCs w:val="24"/>
              </w:rPr>
              <w:t>£</w:t>
            </w:r>
            <w:r w:rsidR="001F34C6" w:rsidRPr="00BE3598">
              <w:rPr>
                <w:rFonts w:eastAsia="Times New Roman" w:cs="Arial"/>
                <w:sz w:val="24"/>
                <w:szCs w:val="24"/>
              </w:rPr>
              <w:t>54</w:t>
            </w:r>
            <w:r w:rsidR="00996910" w:rsidRPr="00BE3598">
              <w:rPr>
                <w:rFonts w:eastAsia="Times New Roman" w:cs="Arial"/>
                <w:sz w:val="24"/>
                <w:szCs w:val="24"/>
              </w:rPr>
              <w:t>,000 underspend</w:t>
            </w:r>
            <w:r w:rsidR="00C7510B" w:rsidRPr="00BE3598">
              <w:rPr>
                <w:rFonts w:eastAsia="Times New Roman" w:cs="Arial"/>
                <w:sz w:val="24"/>
                <w:szCs w:val="24"/>
              </w:rPr>
              <w:t xml:space="preserve">).  </w:t>
            </w:r>
            <w:r w:rsidR="00697F99" w:rsidRPr="00BE3598">
              <w:rPr>
                <w:rFonts w:eastAsia="Times New Roman" w:cs="Arial"/>
                <w:sz w:val="24"/>
                <w:szCs w:val="24"/>
              </w:rPr>
              <w:t>The underspend can be attributed to staff vacancies (£</w:t>
            </w:r>
            <w:r w:rsidR="00B87E81" w:rsidRPr="00BE3598">
              <w:rPr>
                <w:rFonts w:eastAsia="Times New Roman" w:cs="Arial"/>
                <w:sz w:val="24"/>
                <w:szCs w:val="24"/>
              </w:rPr>
              <w:t>3</w:t>
            </w:r>
            <w:r w:rsidR="00BE3598" w:rsidRPr="00BE3598">
              <w:rPr>
                <w:rFonts w:eastAsia="Times New Roman" w:cs="Arial"/>
                <w:sz w:val="24"/>
                <w:szCs w:val="24"/>
              </w:rPr>
              <w:t>1</w:t>
            </w:r>
            <w:r w:rsidR="00697F99" w:rsidRPr="00BE3598">
              <w:rPr>
                <w:rFonts w:eastAsia="Times New Roman" w:cs="Arial"/>
                <w:sz w:val="24"/>
                <w:szCs w:val="24"/>
              </w:rPr>
              <w:t xml:space="preserve">,000), </w:t>
            </w:r>
            <w:r w:rsidR="00BE229A" w:rsidRPr="00BE3598">
              <w:rPr>
                <w:rFonts w:eastAsia="Times New Roman" w:cs="Arial"/>
                <w:sz w:val="24"/>
                <w:szCs w:val="24"/>
              </w:rPr>
              <w:t xml:space="preserve">drawdown from People Strategy reserve to cover EDI training (£20,000), </w:t>
            </w:r>
            <w:r w:rsidR="00697F99" w:rsidRPr="00BE3598">
              <w:rPr>
                <w:rFonts w:eastAsia="Times New Roman" w:cs="Arial"/>
                <w:sz w:val="24"/>
                <w:szCs w:val="24"/>
              </w:rPr>
              <w:t>NHS prescriptions (£3,000), training (£3,000)</w:t>
            </w:r>
            <w:r w:rsidR="00B87E81" w:rsidRPr="00BE3598">
              <w:rPr>
                <w:rFonts w:eastAsia="Times New Roman" w:cs="Arial"/>
                <w:sz w:val="24"/>
                <w:szCs w:val="24"/>
              </w:rPr>
              <w:t xml:space="preserve">, offset by pressures due to maternity leave cover (£3,000), </w:t>
            </w:r>
            <w:r w:rsidR="00BE229A" w:rsidRPr="00BE3598">
              <w:rPr>
                <w:rFonts w:eastAsia="Times New Roman" w:cs="Arial"/>
                <w:sz w:val="24"/>
                <w:szCs w:val="24"/>
              </w:rPr>
              <w:t>interview expenses in relation to the Direct Entrant post (£2,000).  There are some other small variances within the department.</w:t>
            </w:r>
          </w:p>
        </w:tc>
      </w:tr>
      <w:tr w:rsidR="00E15BBD" w:rsidRPr="00301D4F" w14:paraId="2A49BA0A" w14:textId="77777777" w:rsidTr="00BF65A0">
        <w:trPr>
          <w:gridAfter w:val="1"/>
          <w:wAfter w:w="249" w:type="dxa"/>
        </w:trPr>
        <w:tc>
          <w:tcPr>
            <w:tcW w:w="885" w:type="dxa"/>
            <w:gridSpan w:val="2"/>
          </w:tcPr>
          <w:p w14:paraId="55D813FF" w14:textId="237DE3EB" w:rsidR="00E15BBD" w:rsidRPr="00301D4F" w:rsidRDefault="00E15BBD" w:rsidP="00573DBD">
            <w:pPr>
              <w:rPr>
                <w:rFonts w:eastAsia="Times New Roman" w:cs="Arial"/>
                <w:sz w:val="24"/>
                <w:szCs w:val="24"/>
                <w:highlight w:val="yellow"/>
              </w:rPr>
            </w:pPr>
          </w:p>
        </w:tc>
        <w:tc>
          <w:tcPr>
            <w:tcW w:w="8931" w:type="dxa"/>
          </w:tcPr>
          <w:p w14:paraId="5D83F48D" w14:textId="7665F6B8" w:rsidR="00E15BBD" w:rsidRPr="00301D4F" w:rsidRDefault="00E15BBD" w:rsidP="009B07E0">
            <w:pPr>
              <w:jc w:val="both"/>
              <w:rPr>
                <w:rFonts w:eastAsia="Times New Roman" w:cs="Arial"/>
                <w:bCs/>
                <w:sz w:val="24"/>
                <w:szCs w:val="24"/>
                <w:highlight w:val="yellow"/>
              </w:rPr>
            </w:pPr>
          </w:p>
        </w:tc>
      </w:tr>
      <w:tr w:rsidR="00E15BBD" w:rsidRPr="00301D4F" w14:paraId="053FF7DD" w14:textId="77777777" w:rsidTr="00BF65A0">
        <w:trPr>
          <w:gridAfter w:val="1"/>
          <w:wAfter w:w="249" w:type="dxa"/>
        </w:trPr>
        <w:tc>
          <w:tcPr>
            <w:tcW w:w="885" w:type="dxa"/>
            <w:gridSpan w:val="2"/>
          </w:tcPr>
          <w:p w14:paraId="79C5B902" w14:textId="39BA9EEC" w:rsidR="00E15BBD" w:rsidRPr="00EB2627" w:rsidRDefault="00531C6B" w:rsidP="00573DBD">
            <w:pPr>
              <w:rPr>
                <w:rFonts w:eastAsia="Times New Roman" w:cs="Arial"/>
                <w:sz w:val="24"/>
                <w:szCs w:val="24"/>
              </w:rPr>
            </w:pPr>
            <w:r w:rsidRPr="00EB2627">
              <w:rPr>
                <w:rFonts w:eastAsia="Times New Roman" w:cs="Arial"/>
                <w:sz w:val="24"/>
                <w:szCs w:val="24"/>
              </w:rPr>
              <w:t>2.</w:t>
            </w:r>
            <w:r w:rsidR="00AA68D6" w:rsidRPr="00EB2627">
              <w:rPr>
                <w:rFonts w:eastAsia="Times New Roman" w:cs="Arial"/>
                <w:sz w:val="24"/>
                <w:szCs w:val="24"/>
              </w:rPr>
              <w:t>4</w:t>
            </w:r>
            <w:r w:rsidRPr="00EB2627">
              <w:rPr>
                <w:rFonts w:eastAsia="Times New Roman" w:cs="Arial"/>
                <w:sz w:val="24"/>
                <w:szCs w:val="24"/>
              </w:rPr>
              <w:t>.</w:t>
            </w:r>
            <w:r w:rsidR="00014441" w:rsidRPr="00EB2627">
              <w:rPr>
                <w:rFonts w:eastAsia="Times New Roman" w:cs="Arial"/>
                <w:sz w:val="24"/>
                <w:szCs w:val="24"/>
              </w:rPr>
              <w:t>2</w:t>
            </w:r>
          </w:p>
        </w:tc>
        <w:tc>
          <w:tcPr>
            <w:tcW w:w="8931" w:type="dxa"/>
          </w:tcPr>
          <w:p w14:paraId="315782C1" w14:textId="15312CF3" w:rsidR="00E15BBD" w:rsidRPr="00EB2627" w:rsidRDefault="00531C6B" w:rsidP="009E5DC4">
            <w:pPr>
              <w:jc w:val="both"/>
              <w:rPr>
                <w:rFonts w:eastAsia="Times New Roman" w:cs="Arial"/>
                <w:bCs/>
                <w:sz w:val="24"/>
                <w:szCs w:val="24"/>
              </w:rPr>
            </w:pPr>
            <w:r w:rsidRPr="00EB2627">
              <w:rPr>
                <w:rFonts w:eastAsia="Times New Roman" w:cs="Arial"/>
                <w:b/>
                <w:sz w:val="24"/>
                <w:szCs w:val="24"/>
              </w:rPr>
              <w:t>AD Admin Support:</w:t>
            </w:r>
            <w:r w:rsidRPr="00EB2627">
              <w:rPr>
                <w:rFonts w:eastAsia="Times New Roman" w:cs="Arial"/>
                <w:bCs/>
                <w:sz w:val="24"/>
                <w:szCs w:val="24"/>
              </w:rPr>
              <w:t xml:space="preserve"> Expected underspend of £</w:t>
            </w:r>
            <w:r w:rsidR="00753442" w:rsidRPr="00EB2627">
              <w:rPr>
                <w:rFonts w:eastAsia="Times New Roman" w:cs="Arial"/>
                <w:bCs/>
                <w:sz w:val="24"/>
                <w:szCs w:val="24"/>
              </w:rPr>
              <w:t>3</w:t>
            </w:r>
            <w:r w:rsidR="00E53291" w:rsidRPr="00EB2627">
              <w:rPr>
                <w:rFonts w:eastAsia="Times New Roman" w:cs="Arial"/>
                <w:bCs/>
                <w:sz w:val="24"/>
                <w:szCs w:val="24"/>
              </w:rPr>
              <w:t>7</w:t>
            </w:r>
            <w:r w:rsidRPr="00EB2627">
              <w:rPr>
                <w:rFonts w:eastAsia="Times New Roman" w:cs="Arial"/>
                <w:bCs/>
                <w:sz w:val="24"/>
                <w:szCs w:val="24"/>
              </w:rPr>
              <w:t xml:space="preserve">,000 </w:t>
            </w:r>
            <w:r w:rsidR="00617FE9" w:rsidRPr="00EB2627">
              <w:rPr>
                <w:rFonts w:eastAsia="Times New Roman" w:cs="Arial"/>
                <w:bCs/>
                <w:sz w:val="24"/>
                <w:szCs w:val="24"/>
              </w:rPr>
              <w:t xml:space="preserve">(previous forecast </w:t>
            </w:r>
            <w:r w:rsidR="005638E5" w:rsidRPr="00EB2627">
              <w:rPr>
                <w:rFonts w:eastAsia="Times New Roman" w:cs="Arial"/>
                <w:bCs/>
                <w:sz w:val="24"/>
                <w:szCs w:val="24"/>
              </w:rPr>
              <w:t>£</w:t>
            </w:r>
            <w:r w:rsidR="001F34C6" w:rsidRPr="00EB2627">
              <w:rPr>
                <w:rFonts w:eastAsia="Times New Roman" w:cs="Arial"/>
                <w:bCs/>
                <w:sz w:val="24"/>
                <w:szCs w:val="24"/>
              </w:rPr>
              <w:t>36</w:t>
            </w:r>
            <w:r w:rsidR="00617FE9" w:rsidRPr="00EB2627">
              <w:rPr>
                <w:rFonts w:eastAsia="Times New Roman" w:cs="Arial"/>
                <w:bCs/>
                <w:sz w:val="24"/>
                <w:szCs w:val="24"/>
              </w:rPr>
              <w:t>,000 underspend).  The underspend relates to a vacancy, with the movement since P</w:t>
            </w:r>
            <w:r w:rsidR="00EC00B2" w:rsidRPr="00EB2627">
              <w:rPr>
                <w:rFonts w:eastAsia="Times New Roman" w:cs="Arial"/>
                <w:bCs/>
                <w:sz w:val="24"/>
                <w:szCs w:val="24"/>
              </w:rPr>
              <w:t>6</w:t>
            </w:r>
            <w:r w:rsidR="00617FE9" w:rsidRPr="00EB2627">
              <w:rPr>
                <w:rFonts w:eastAsia="Times New Roman" w:cs="Arial"/>
                <w:bCs/>
                <w:sz w:val="24"/>
                <w:szCs w:val="24"/>
              </w:rPr>
              <w:t xml:space="preserve"> relating to </w:t>
            </w:r>
            <w:r w:rsidR="00EC00B2" w:rsidRPr="00EB2627">
              <w:rPr>
                <w:rFonts w:eastAsia="Times New Roman" w:cs="Arial"/>
                <w:bCs/>
                <w:sz w:val="24"/>
                <w:szCs w:val="24"/>
              </w:rPr>
              <w:t>the pay award</w:t>
            </w:r>
            <w:r w:rsidRPr="00EB2627">
              <w:rPr>
                <w:rFonts w:eastAsia="Times New Roman" w:cs="Arial"/>
                <w:bCs/>
                <w:sz w:val="24"/>
                <w:szCs w:val="24"/>
              </w:rPr>
              <w:t>.</w:t>
            </w:r>
          </w:p>
        </w:tc>
      </w:tr>
      <w:tr w:rsidR="00E15BBD" w:rsidRPr="00301D4F" w14:paraId="4EA61C36" w14:textId="77777777" w:rsidTr="00BF65A0">
        <w:trPr>
          <w:gridAfter w:val="1"/>
          <w:wAfter w:w="249" w:type="dxa"/>
        </w:trPr>
        <w:tc>
          <w:tcPr>
            <w:tcW w:w="885" w:type="dxa"/>
            <w:gridSpan w:val="2"/>
          </w:tcPr>
          <w:p w14:paraId="65B2C2C4" w14:textId="1D19E161" w:rsidR="00E15BBD" w:rsidRPr="00301D4F" w:rsidRDefault="00E15BBD" w:rsidP="00573DBD">
            <w:pPr>
              <w:rPr>
                <w:rFonts w:eastAsia="Times New Roman" w:cs="Arial"/>
                <w:sz w:val="24"/>
                <w:szCs w:val="24"/>
                <w:highlight w:val="yellow"/>
              </w:rPr>
            </w:pPr>
          </w:p>
        </w:tc>
        <w:tc>
          <w:tcPr>
            <w:tcW w:w="8931" w:type="dxa"/>
          </w:tcPr>
          <w:p w14:paraId="15E6B478" w14:textId="77777777" w:rsidR="00E15BBD" w:rsidRPr="00301D4F" w:rsidRDefault="00E15BBD" w:rsidP="002828E0">
            <w:pPr>
              <w:jc w:val="both"/>
              <w:rPr>
                <w:rFonts w:eastAsia="Times New Roman" w:cs="Arial"/>
                <w:b/>
                <w:sz w:val="24"/>
                <w:szCs w:val="24"/>
                <w:highlight w:val="yellow"/>
              </w:rPr>
            </w:pPr>
          </w:p>
        </w:tc>
      </w:tr>
      <w:tr w:rsidR="00F20BB0" w:rsidRPr="00301D4F" w14:paraId="353A5568" w14:textId="77777777" w:rsidTr="00BF65A0">
        <w:trPr>
          <w:gridAfter w:val="1"/>
          <w:wAfter w:w="249" w:type="dxa"/>
        </w:trPr>
        <w:tc>
          <w:tcPr>
            <w:tcW w:w="885" w:type="dxa"/>
            <w:gridSpan w:val="2"/>
          </w:tcPr>
          <w:p w14:paraId="7F1041E3" w14:textId="202AE002" w:rsidR="00F20BB0" w:rsidRPr="00EB2627" w:rsidRDefault="00F20BB0" w:rsidP="00573DBD">
            <w:pPr>
              <w:rPr>
                <w:rFonts w:eastAsia="Times New Roman" w:cs="Arial"/>
                <w:sz w:val="24"/>
                <w:szCs w:val="24"/>
              </w:rPr>
            </w:pPr>
            <w:r w:rsidRPr="00EB2627">
              <w:rPr>
                <w:rFonts w:eastAsia="Times New Roman" w:cs="Arial"/>
                <w:sz w:val="24"/>
                <w:szCs w:val="24"/>
              </w:rPr>
              <w:t>2.</w:t>
            </w:r>
            <w:r w:rsidR="00AA68D6" w:rsidRPr="00EB2627">
              <w:rPr>
                <w:rFonts w:eastAsia="Times New Roman" w:cs="Arial"/>
                <w:sz w:val="24"/>
                <w:szCs w:val="24"/>
              </w:rPr>
              <w:t>4</w:t>
            </w:r>
            <w:r w:rsidRPr="00EB2627">
              <w:rPr>
                <w:rFonts w:eastAsia="Times New Roman" w:cs="Arial"/>
                <w:sz w:val="24"/>
                <w:szCs w:val="24"/>
              </w:rPr>
              <w:t>.3</w:t>
            </w:r>
          </w:p>
        </w:tc>
        <w:tc>
          <w:tcPr>
            <w:tcW w:w="8931" w:type="dxa"/>
          </w:tcPr>
          <w:p w14:paraId="7476604F" w14:textId="07314111" w:rsidR="00EF2984" w:rsidRPr="00EB2627" w:rsidRDefault="00F20BB0" w:rsidP="0080096F">
            <w:pPr>
              <w:jc w:val="both"/>
              <w:rPr>
                <w:rFonts w:eastAsia="Times New Roman" w:cs="Arial"/>
                <w:bCs/>
                <w:sz w:val="24"/>
                <w:szCs w:val="24"/>
              </w:rPr>
            </w:pPr>
            <w:r w:rsidRPr="00EB2627">
              <w:rPr>
                <w:rFonts w:eastAsia="Times New Roman" w:cs="Arial"/>
                <w:b/>
                <w:sz w:val="24"/>
                <w:szCs w:val="24"/>
              </w:rPr>
              <w:t>Service Training Centre</w:t>
            </w:r>
            <w:r w:rsidR="00C7510B" w:rsidRPr="00EB2627">
              <w:rPr>
                <w:rFonts w:eastAsia="Times New Roman" w:cs="Arial"/>
                <w:b/>
                <w:sz w:val="24"/>
                <w:szCs w:val="24"/>
              </w:rPr>
              <w:t xml:space="preserve"> and Workforce Development</w:t>
            </w:r>
            <w:r w:rsidRPr="00EB2627">
              <w:rPr>
                <w:rFonts w:eastAsia="Times New Roman" w:cs="Arial"/>
                <w:b/>
                <w:sz w:val="24"/>
                <w:szCs w:val="24"/>
              </w:rPr>
              <w:t>:</w:t>
            </w:r>
            <w:r w:rsidRPr="00EB2627">
              <w:rPr>
                <w:rFonts w:eastAsia="Times New Roman" w:cs="Arial"/>
                <w:bCs/>
                <w:sz w:val="24"/>
                <w:szCs w:val="24"/>
              </w:rPr>
              <w:t xml:space="preserve"> An </w:t>
            </w:r>
            <w:r w:rsidR="00996910" w:rsidRPr="00EB2627">
              <w:rPr>
                <w:rFonts w:eastAsia="Times New Roman" w:cs="Arial"/>
                <w:bCs/>
                <w:sz w:val="24"/>
                <w:szCs w:val="24"/>
              </w:rPr>
              <w:t>overspend</w:t>
            </w:r>
            <w:r w:rsidRPr="00EB2627">
              <w:rPr>
                <w:rFonts w:eastAsia="Times New Roman" w:cs="Arial"/>
                <w:bCs/>
                <w:sz w:val="24"/>
                <w:szCs w:val="24"/>
              </w:rPr>
              <w:t xml:space="preserve"> of £</w:t>
            </w:r>
            <w:r w:rsidR="00E53291" w:rsidRPr="00EB2627">
              <w:rPr>
                <w:rFonts w:eastAsia="Times New Roman" w:cs="Arial"/>
                <w:bCs/>
                <w:sz w:val="24"/>
                <w:szCs w:val="24"/>
              </w:rPr>
              <w:t>72</w:t>
            </w:r>
            <w:r w:rsidR="00C7510B" w:rsidRPr="00EB2627">
              <w:rPr>
                <w:rFonts w:eastAsia="Times New Roman" w:cs="Arial"/>
                <w:bCs/>
                <w:sz w:val="24"/>
                <w:szCs w:val="24"/>
              </w:rPr>
              <w:t xml:space="preserve">,000 is expected (previous forecast </w:t>
            </w:r>
            <w:r w:rsidR="00DD0FA5" w:rsidRPr="00EB2627">
              <w:rPr>
                <w:rFonts w:eastAsia="Times New Roman" w:cs="Arial"/>
                <w:bCs/>
                <w:sz w:val="24"/>
                <w:szCs w:val="24"/>
              </w:rPr>
              <w:t>£</w:t>
            </w:r>
            <w:r w:rsidR="00B11787" w:rsidRPr="00EB2627">
              <w:rPr>
                <w:rFonts w:eastAsia="Times New Roman" w:cs="Arial"/>
                <w:bCs/>
                <w:sz w:val="24"/>
                <w:szCs w:val="24"/>
              </w:rPr>
              <w:t>53</w:t>
            </w:r>
            <w:r w:rsidR="00DD0FA5" w:rsidRPr="00EB2627">
              <w:rPr>
                <w:rFonts w:eastAsia="Times New Roman" w:cs="Arial"/>
                <w:bCs/>
                <w:sz w:val="24"/>
                <w:szCs w:val="24"/>
              </w:rPr>
              <w:t xml:space="preserve">,000 </w:t>
            </w:r>
            <w:r w:rsidR="00B11787" w:rsidRPr="00EB2627">
              <w:rPr>
                <w:rFonts w:eastAsia="Times New Roman" w:cs="Arial"/>
                <w:bCs/>
                <w:sz w:val="24"/>
                <w:szCs w:val="24"/>
              </w:rPr>
              <w:t>over</w:t>
            </w:r>
            <w:r w:rsidR="00DD0FA5" w:rsidRPr="00EB2627">
              <w:rPr>
                <w:rFonts w:eastAsia="Times New Roman" w:cs="Arial"/>
                <w:bCs/>
                <w:sz w:val="24"/>
                <w:szCs w:val="24"/>
              </w:rPr>
              <w:t xml:space="preserve">spend).   </w:t>
            </w:r>
            <w:r w:rsidR="00EF2984" w:rsidRPr="00EB2627">
              <w:rPr>
                <w:rFonts w:eastAsia="Times New Roman" w:cs="Arial"/>
                <w:bCs/>
                <w:sz w:val="24"/>
                <w:szCs w:val="24"/>
              </w:rPr>
              <w:t xml:space="preserve">The overspend can be attributed to on-call training </w:t>
            </w:r>
            <w:r w:rsidR="00EB2627" w:rsidRPr="00EB2627">
              <w:rPr>
                <w:rFonts w:eastAsia="Times New Roman" w:cs="Arial"/>
                <w:bCs/>
                <w:sz w:val="24"/>
                <w:szCs w:val="24"/>
              </w:rPr>
              <w:t>(</w:t>
            </w:r>
            <w:r w:rsidR="00EF2984" w:rsidRPr="00EB2627">
              <w:rPr>
                <w:rFonts w:eastAsia="Times New Roman" w:cs="Arial"/>
                <w:bCs/>
                <w:sz w:val="24"/>
                <w:szCs w:val="24"/>
              </w:rPr>
              <w:t>£</w:t>
            </w:r>
            <w:r w:rsidR="00EB2627" w:rsidRPr="00EB2627">
              <w:rPr>
                <w:rFonts w:eastAsia="Times New Roman" w:cs="Arial"/>
                <w:bCs/>
                <w:sz w:val="24"/>
                <w:szCs w:val="24"/>
              </w:rPr>
              <w:t>78</w:t>
            </w:r>
            <w:r w:rsidR="00EF2984" w:rsidRPr="00EB2627">
              <w:rPr>
                <w:rFonts w:eastAsia="Times New Roman" w:cs="Arial"/>
                <w:bCs/>
                <w:sz w:val="24"/>
                <w:szCs w:val="24"/>
              </w:rPr>
              <w:t>,000), instructor overtime (£</w:t>
            </w:r>
            <w:r w:rsidR="00EB2627" w:rsidRPr="00EB2627">
              <w:rPr>
                <w:rFonts w:eastAsia="Times New Roman" w:cs="Arial"/>
                <w:bCs/>
                <w:sz w:val="24"/>
                <w:szCs w:val="24"/>
              </w:rPr>
              <w:t>28</w:t>
            </w:r>
            <w:r w:rsidR="00EF2984" w:rsidRPr="00EB2627">
              <w:rPr>
                <w:rFonts w:eastAsia="Times New Roman" w:cs="Arial"/>
                <w:bCs/>
                <w:sz w:val="24"/>
                <w:szCs w:val="24"/>
              </w:rPr>
              <w:t>,000), loss of commercial training income (£2</w:t>
            </w:r>
            <w:r w:rsidR="00EB2627" w:rsidRPr="00EB2627">
              <w:rPr>
                <w:rFonts w:eastAsia="Times New Roman" w:cs="Arial"/>
                <w:bCs/>
                <w:sz w:val="24"/>
                <w:szCs w:val="24"/>
              </w:rPr>
              <w:t>7</w:t>
            </w:r>
            <w:r w:rsidR="00EF2984" w:rsidRPr="00EB2627">
              <w:rPr>
                <w:rFonts w:eastAsia="Times New Roman" w:cs="Arial"/>
                <w:bCs/>
                <w:sz w:val="24"/>
                <w:szCs w:val="24"/>
              </w:rPr>
              <w:t>,000) and wholetime covering absences (£</w:t>
            </w:r>
            <w:r w:rsidR="00EB2627" w:rsidRPr="00EB2627">
              <w:rPr>
                <w:rFonts w:eastAsia="Times New Roman" w:cs="Arial"/>
                <w:bCs/>
                <w:sz w:val="24"/>
                <w:szCs w:val="24"/>
              </w:rPr>
              <w:t>21</w:t>
            </w:r>
            <w:r w:rsidR="00EF2984" w:rsidRPr="00EB2627">
              <w:rPr>
                <w:rFonts w:eastAsia="Times New Roman" w:cs="Arial"/>
                <w:bCs/>
                <w:sz w:val="24"/>
                <w:szCs w:val="24"/>
              </w:rPr>
              <w:t>,000), offset by vacancies (£</w:t>
            </w:r>
            <w:r w:rsidR="001F1C36" w:rsidRPr="00EB2627">
              <w:rPr>
                <w:rFonts w:eastAsia="Times New Roman" w:cs="Arial"/>
                <w:bCs/>
                <w:sz w:val="24"/>
                <w:szCs w:val="24"/>
              </w:rPr>
              <w:t>6</w:t>
            </w:r>
            <w:r w:rsidR="00EB2627" w:rsidRPr="00EB2627">
              <w:rPr>
                <w:rFonts w:eastAsia="Times New Roman" w:cs="Arial"/>
                <w:bCs/>
                <w:sz w:val="24"/>
                <w:szCs w:val="24"/>
              </w:rPr>
              <w:t>9</w:t>
            </w:r>
            <w:r w:rsidR="00EF2984" w:rsidRPr="00EB2627">
              <w:rPr>
                <w:rFonts w:eastAsia="Times New Roman" w:cs="Arial"/>
                <w:bCs/>
                <w:sz w:val="24"/>
                <w:szCs w:val="24"/>
              </w:rPr>
              <w:t>,000), timber (£5,000) where excess inflation was provided and reduced usage of scrap cars (£4,000).</w:t>
            </w:r>
          </w:p>
          <w:p w14:paraId="6B8A62E9" w14:textId="77777777" w:rsidR="000E39DE" w:rsidRPr="00EB2627" w:rsidRDefault="000E39DE" w:rsidP="0080096F">
            <w:pPr>
              <w:jc w:val="both"/>
              <w:rPr>
                <w:rFonts w:eastAsia="Times New Roman" w:cs="Arial"/>
                <w:bCs/>
                <w:sz w:val="24"/>
                <w:szCs w:val="24"/>
              </w:rPr>
            </w:pPr>
          </w:p>
          <w:p w14:paraId="68F2FB1A" w14:textId="5019908B" w:rsidR="000E446A" w:rsidRPr="00EB2627" w:rsidRDefault="000E39DE" w:rsidP="0080096F">
            <w:pPr>
              <w:jc w:val="both"/>
              <w:rPr>
                <w:rFonts w:eastAsia="Times New Roman" w:cs="Arial"/>
                <w:bCs/>
                <w:sz w:val="24"/>
                <w:szCs w:val="24"/>
              </w:rPr>
            </w:pPr>
            <w:r w:rsidRPr="00EB2627">
              <w:rPr>
                <w:rFonts w:eastAsia="Times New Roman" w:cs="Arial"/>
                <w:bCs/>
                <w:sz w:val="24"/>
                <w:szCs w:val="24"/>
              </w:rPr>
              <w:t xml:space="preserve">The movement since </w:t>
            </w:r>
            <w:r w:rsidR="00C86359" w:rsidRPr="00EB2627">
              <w:rPr>
                <w:rFonts w:eastAsia="Times New Roman" w:cs="Arial"/>
                <w:bCs/>
                <w:sz w:val="24"/>
                <w:szCs w:val="24"/>
              </w:rPr>
              <w:t>P</w:t>
            </w:r>
            <w:r w:rsidR="00EB2627" w:rsidRPr="00EB2627">
              <w:rPr>
                <w:rFonts w:eastAsia="Times New Roman" w:cs="Arial"/>
                <w:bCs/>
                <w:sz w:val="24"/>
                <w:szCs w:val="24"/>
              </w:rPr>
              <w:t>6 can be attributed to a reduction in vacancies.</w:t>
            </w:r>
          </w:p>
          <w:p w14:paraId="2DBC8B57" w14:textId="1B9335D8" w:rsidR="00DD0FA5" w:rsidRPr="00EB2627" w:rsidRDefault="00DD0FA5" w:rsidP="005638E5">
            <w:pPr>
              <w:jc w:val="both"/>
              <w:rPr>
                <w:rFonts w:eastAsia="Times New Roman" w:cs="Arial"/>
                <w:b/>
                <w:sz w:val="24"/>
                <w:szCs w:val="24"/>
              </w:rPr>
            </w:pPr>
          </w:p>
        </w:tc>
      </w:tr>
      <w:tr w:rsidR="007B3147" w:rsidRPr="00301D4F" w14:paraId="6659137A" w14:textId="77777777" w:rsidTr="00BF65A0">
        <w:trPr>
          <w:gridAfter w:val="1"/>
          <w:wAfter w:w="249" w:type="dxa"/>
        </w:trPr>
        <w:tc>
          <w:tcPr>
            <w:tcW w:w="885" w:type="dxa"/>
            <w:gridSpan w:val="2"/>
          </w:tcPr>
          <w:p w14:paraId="2CEB5175" w14:textId="67642AB7" w:rsidR="007B3147" w:rsidRPr="00B11787" w:rsidRDefault="007B3147" w:rsidP="00573DBD">
            <w:pPr>
              <w:rPr>
                <w:rFonts w:eastAsia="Times New Roman" w:cs="Arial"/>
                <w:sz w:val="24"/>
                <w:szCs w:val="24"/>
              </w:rPr>
            </w:pPr>
            <w:r w:rsidRPr="00B11787">
              <w:rPr>
                <w:rFonts w:eastAsia="Times New Roman" w:cs="Arial"/>
                <w:sz w:val="24"/>
                <w:szCs w:val="24"/>
              </w:rPr>
              <w:t>2.</w:t>
            </w:r>
            <w:r w:rsidR="00AA68D6" w:rsidRPr="00B11787">
              <w:rPr>
                <w:rFonts w:eastAsia="Times New Roman" w:cs="Arial"/>
                <w:sz w:val="24"/>
                <w:szCs w:val="24"/>
              </w:rPr>
              <w:t>4</w:t>
            </w:r>
            <w:r w:rsidRPr="00B11787">
              <w:rPr>
                <w:rFonts w:eastAsia="Times New Roman" w:cs="Arial"/>
                <w:sz w:val="24"/>
                <w:szCs w:val="24"/>
              </w:rPr>
              <w:t>.4</w:t>
            </w:r>
          </w:p>
        </w:tc>
        <w:tc>
          <w:tcPr>
            <w:tcW w:w="8931" w:type="dxa"/>
          </w:tcPr>
          <w:p w14:paraId="0E8B8D33" w14:textId="508F5CD1" w:rsidR="007B3147" w:rsidRPr="00B11787" w:rsidRDefault="007B3147" w:rsidP="0080096F">
            <w:pPr>
              <w:jc w:val="both"/>
              <w:rPr>
                <w:rFonts w:eastAsia="Times New Roman" w:cs="Arial"/>
                <w:bCs/>
                <w:sz w:val="24"/>
                <w:szCs w:val="24"/>
              </w:rPr>
            </w:pPr>
            <w:r w:rsidRPr="00B11787">
              <w:rPr>
                <w:rFonts w:eastAsia="Times New Roman" w:cs="Arial"/>
                <w:b/>
                <w:sz w:val="24"/>
                <w:szCs w:val="24"/>
              </w:rPr>
              <w:t>Payroll:</w:t>
            </w:r>
            <w:r w:rsidRPr="00B11787">
              <w:rPr>
                <w:rFonts w:eastAsia="Times New Roman" w:cs="Arial"/>
                <w:bCs/>
                <w:sz w:val="24"/>
                <w:szCs w:val="24"/>
              </w:rPr>
              <w:t xml:space="preserve"> An overspend of £</w:t>
            </w:r>
            <w:r w:rsidR="00AC51D2" w:rsidRPr="00B11787">
              <w:rPr>
                <w:rFonts w:eastAsia="Times New Roman" w:cs="Arial"/>
                <w:bCs/>
                <w:sz w:val="24"/>
                <w:szCs w:val="24"/>
              </w:rPr>
              <w:t>8</w:t>
            </w:r>
            <w:r w:rsidR="00E53291" w:rsidRPr="00B11787">
              <w:rPr>
                <w:rFonts w:eastAsia="Times New Roman" w:cs="Arial"/>
                <w:bCs/>
                <w:sz w:val="24"/>
                <w:szCs w:val="24"/>
              </w:rPr>
              <w:t>0</w:t>
            </w:r>
            <w:r w:rsidRPr="00B11787">
              <w:rPr>
                <w:rFonts w:eastAsia="Times New Roman" w:cs="Arial"/>
                <w:bCs/>
                <w:sz w:val="24"/>
                <w:szCs w:val="24"/>
              </w:rPr>
              <w:t>,000 is expected (previous forecast £</w:t>
            </w:r>
            <w:r w:rsidR="001F34C6" w:rsidRPr="00B11787">
              <w:rPr>
                <w:rFonts w:eastAsia="Times New Roman" w:cs="Arial"/>
                <w:bCs/>
                <w:sz w:val="24"/>
                <w:szCs w:val="24"/>
              </w:rPr>
              <w:t>77</w:t>
            </w:r>
            <w:r w:rsidRPr="00B11787">
              <w:rPr>
                <w:rFonts w:eastAsia="Times New Roman" w:cs="Arial"/>
                <w:bCs/>
                <w:sz w:val="24"/>
                <w:szCs w:val="24"/>
              </w:rPr>
              <w:t>,000 overspend).  The pressure is caused by an error in the budget for Pensions posts (£9</w:t>
            </w:r>
            <w:r w:rsidR="00C42C91">
              <w:rPr>
                <w:rFonts w:eastAsia="Times New Roman" w:cs="Arial"/>
                <w:bCs/>
                <w:sz w:val="24"/>
                <w:szCs w:val="24"/>
              </w:rPr>
              <w:t>8</w:t>
            </w:r>
            <w:r w:rsidRPr="00B11787">
              <w:rPr>
                <w:rFonts w:eastAsia="Times New Roman" w:cs="Arial"/>
                <w:bCs/>
                <w:sz w:val="24"/>
                <w:szCs w:val="24"/>
              </w:rPr>
              <w:t>,000) and pension advisory &amp; interest charges (£</w:t>
            </w:r>
            <w:r w:rsidR="00C42C91">
              <w:rPr>
                <w:rFonts w:eastAsia="Times New Roman" w:cs="Arial"/>
                <w:bCs/>
                <w:sz w:val="24"/>
                <w:szCs w:val="24"/>
              </w:rPr>
              <w:t>5</w:t>
            </w:r>
            <w:r w:rsidRPr="00B11787">
              <w:rPr>
                <w:rFonts w:eastAsia="Times New Roman" w:cs="Arial"/>
                <w:bCs/>
                <w:sz w:val="24"/>
                <w:szCs w:val="24"/>
              </w:rPr>
              <w:t>,000), offset by an underspend of £2</w:t>
            </w:r>
            <w:r w:rsidR="00C42C91">
              <w:rPr>
                <w:rFonts w:eastAsia="Times New Roman" w:cs="Arial"/>
                <w:bCs/>
                <w:sz w:val="24"/>
                <w:szCs w:val="24"/>
              </w:rPr>
              <w:t>3</w:t>
            </w:r>
            <w:r w:rsidRPr="00B11787">
              <w:rPr>
                <w:rFonts w:eastAsia="Times New Roman" w:cs="Arial"/>
                <w:bCs/>
                <w:sz w:val="24"/>
                <w:szCs w:val="24"/>
              </w:rPr>
              <w:t>,000 relating to vacancies.</w:t>
            </w:r>
          </w:p>
          <w:p w14:paraId="1AB4A23D" w14:textId="77777777" w:rsidR="007B3147" w:rsidRPr="00B11787" w:rsidRDefault="007B3147" w:rsidP="0080096F">
            <w:pPr>
              <w:jc w:val="both"/>
              <w:rPr>
                <w:rFonts w:eastAsia="Times New Roman" w:cs="Arial"/>
                <w:bCs/>
                <w:sz w:val="24"/>
                <w:szCs w:val="24"/>
              </w:rPr>
            </w:pPr>
          </w:p>
          <w:p w14:paraId="5AA0D004" w14:textId="53844237" w:rsidR="007B3147" w:rsidRPr="00B11787" w:rsidRDefault="007B3147" w:rsidP="0080096F">
            <w:pPr>
              <w:jc w:val="both"/>
              <w:rPr>
                <w:rFonts w:eastAsia="Times New Roman" w:cs="Arial"/>
                <w:bCs/>
                <w:sz w:val="24"/>
                <w:szCs w:val="24"/>
              </w:rPr>
            </w:pPr>
            <w:r w:rsidRPr="00B11787">
              <w:rPr>
                <w:rFonts w:eastAsia="Times New Roman" w:cs="Arial"/>
                <w:bCs/>
                <w:sz w:val="24"/>
                <w:szCs w:val="24"/>
              </w:rPr>
              <w:t xml:space="preserve">The </w:t>
            </w:r>
            <w:r w:rsidR="00C42C91">
              <w:rPr>
                <w:rFonts w:eastAsia="Times New Roman" w:cs="Arial"/>
                <w:bCs/>
                <w:sz w:val="24"/>
                <w:szCs w:val="24"/>
              </w:rPr>
              <w:t xml:space="preserve">increase </w:t>
            </w:r>
            <w:r w:rsidRPr="00B11787">
              <w:rPr>
                <w:rFonts w:eastAsia="Times New Roman" w:cs="Arial"/>
                <w:bCs/>
                <w:sz w:val="24"/>
                <w:szCs w:val="24"/>
              </w:rPr>
              <w:t>since P</w:t>
            </w:r>
            <w:r w:rsidR="00B11787" w:rsidRPr="00B11787">
              <w:rPr>
                <w:rFonts w:eastAsia="Times New Roman" w:cs="Arial"/>
                <w:bCs/>
                <w:sz w:val="24"/>
                <w:szCs w:val="24"/>
              </w:rPr>
              <w:t>6 can be attributed to staff pay</w:t>
            </w:r>
            <w:r w:rsidR="00C42C91">
              <w:rPr>
                <w:rFonts w:eastAsia="Times New Roman" w:cs="Arial"/>
                <w:bCs/>
                <w:sz w:val="24"/>
                <w:szCs w:val="24"/>
              </w:rPr>
              <w:t>, with an individual increasing their hours</w:t>
            </w:r>
            <w:r w:rsidR="00B11787" w:rsidRPr="00B11787">
              <w:rPr>
                <w:rFonts w:eastAsia="Times New Roman" w:cs="Arial"/>
                <w:bCs/>
                <w:sz w:val="24"/>
                <w:szCs w:val="24"/>
              </w:rPr>
              <w:t>.</w:t>
            </w:r>
          </w:p>
        </w:tc>
      </w:tr>
      <w:tr w:rsidR="007B3147" w:rsidRPr="00301D4F" w14:paraId="3B51B48C" w14:textId="77777777" w:rsidTr="00BF65A0">
        <w:trPr>
          <w:gridAfter w:val="1"/>
          <w:wAfter w:w="249" w:type="dxa"/>
        </w:trPr>
        <w:tc>
          <w:tcPr>
            <w:tcW w:w="885" w:type="dxa"/>
            <w:gridSpan w:val="2"/>
          </w:tcPr>
          <w:p w14:paraId="19EB5797" w14:textId="64AA4682" w:rsidR="007B3147" w:rsidRPr="00301D4F" w:rsidRDefault="007B3147" w:rsidP="00573DBD">
            <w:pPr>
              <w:rPr>
                <w:rFonts w:eastAsia="Times New Roman" w:cs="Arial"/>
                <w:sz w:val="24"/>
                <w:szCs w:val="24"/>
                <w:highlight w:val="yellow"/>
              </w:rPr>
            </w:pPr>
          </w:p>
        </w:tc>
        <w:tc>
          <w:tcPr>
            <w:tcW w:w="8931" w:type="dxa"/>
          </w:tcPr>
          <w:p w14:paraId="748C0967" w14:textId="735FE741" w:rsidR="007B3147" w:rsidRPr="00301D4F" w:rsidRDefault="007B3147" w:rsidP="00F606F6">
            <w:pPr>
              <w:jc w:val="both"/>
              <w:rPr>
                <w:rFonts w:eastAsia="Times New Roman" w:cs="Arial"/>
                <w:b/>
                <w:sz w:val="24"/>
                <w:szCs w:val="24"/>
                <w:highlight w:val="yellow"/>
              </w:rPr>
            </w:pPr>
          </w:p>
        </w:tc>
      </w:tr>
      <w:tr w:rsidR="007B3147" w:rsidRPr="00301D4F" w14:paraId="3F5A3EA9" w14:textId="77777777" w:rsidTr="00BF65A0">
        <w:trPr>
          <w:gridAfter w:val="1"/>
          <w:wAfter w:w="249" w:type="dxa"/>
        </w:trPr>
        <w:tc>
          <w:tcPr>
            <w:tcW w:w="885" w:type="dxa"/>
            <w:gridSpan w:val="2"/>
          </w:tcPr>
          <w:p w14:paraId="47D61244" w14:textId="6AB6F898" w:rsidR="007B3147" w:rsidRPr="00AA68D6" w:rsidRDefault="007B3147" w:rsidP="00573DBD">
            <w:pPr>
              <w:rPr>
                <w:rFonts w:eastAsia="Times New Roman" w:cs="Arial"/>
                <w:sz w:val="24"/>
                <w:szCs w:val="24"/>
              </w:rPr>
            </w:pPr>
            <w:r w:rsidRPr="00AA68D6">
              <w:rPr>
                <w:rFonts w:eastAsia="Times New Roman" w:cs="Arial"/>
                <w:sz w:val="24"/>
                <w:szCs w:val="24"/>
              </w:rPr>
              <w:t>2.</w:t>
            </w:r>
            <w:r w:rsidR="00AA68D6">
              <w:rPr>
                <w:rFonts w:eastAsia="Times New Roman" w:cs="Arial"/>
                <w:sz w:val="24"/>
                <w:szCs w:val="24"/>
              </w:rPr>
              <w:t>4</w:t>
            </w:r>
            <w:r w:rsidRPr="00AA68D6">
              <w:rPr>
                <w:rFonts w:eastAsia="Times New Roman" w:cs="Arial"/>
                <w:sz w:val="24"/>
                <w:szCs w:val="24"/>
              </w:rPr>
              <w:t>.5</w:t>
            </w:r>
          </w:p>
        </w:tc>
        <w:tc>
          <w:tcPr>
            <w:tcW w:w="8931" w:type="dxa"/>
          </w:tcPr>
          <w:p w14:paraId="7A879B35" w14:textId="0C910B7D" w:rsidR="007B3147" w:rsidRPr="00AA68D6" w:rsidRDefault="007B3147" w:rsidP="0080096F">
            <w:pPr>
              <w:jc w:val="both"/>
              <w:rPr>
                <w:rFonts w:eastAsia="Times New Roman" w:cs="Arial"/>
                <w:b/>
                <w:sz w:val="24"/>
                <w:szCs w:val="24"/>
              </w:rPr>
            </w:pPr>
            <w:r w:rsidRPr="00AA68D6">
              <w:rPr>
                <w:rFonts w:eastAsia="Times New Roman" w:cs="Arial"/>
                <w:b/>
                <w:sz w:val="24"/>
                <w:szCs w:val="24"/>
              </w:rPr>
              <w:t xml:space="preserve">Occupational Health: </w:t>
            </w:r>
            <w:r w:rsidRPr="00AA68D6">
              <w:rPr>
                <w:rFonts w:eastAsia="Times New Roman" w:cs="Arial"/>
                <w:bCs/>
                <w:sz w:val="24"/>
                <w:szCs w:val="24"/>
              </w:rPr>
              <w:t>Expected overspend of £27,000 (previous forecast to £27,000 overspend).  The overspend relates to medical fees with an increased usage this year.</w:t>
            </w:r>
          </w:p>
        </w:tc>
      </w:tr>
      <w:tr w:rsidR="007B3147" w:rsidRPr="00301D4F" w14:paraId="0CD01EF0" w14:textId="77777777" w:rsidTr="00BF65A0">
        <w:trPr>
          <w:gridAfter w:val="1"/>
          <w:wAfter w:w="249" w:type="dxa"/>
        </w:trPr>
        <w:tc>
          <w:tcPr>
            <w:tcW w:w="885" w:type="dxa"/>
            <w:gridSpan w:val="2"/>
          </w:tcPr>
          <w:p w14:paraId="50D9CAE9" w14:textId="337284BD" w:rsidR="007B3147" w:rsidRPr="00AA68D6" w:rsidRDefault="007B3147" w:rsidP="00573DBD">
            <w:pPr>
              <w:rPr>
                <w:rFonts w:eastAsia="Times New Roman" w:cs="Arial"/>
                <w:sz w:val="24"/>
                <w:szCs w:val="24"/>
              </w:rPr>
            </w:pPr>
          </w:p>
        </w:tc>
        <w:tc>
          <w:tcPr>
            <w:tcW w:w="8931" w:type="dxa"/>
          </w:tcPr>
          <w:p w14:paraId="4E4A2090" w14:textId="4B5B27B1" w:rsidR="007B3147" w:rsidRPr="00AA68D6" w:rsidRDefault="007B3147" w:rsidP="0080096F">
            <w:pPr>
              <w:jc w:val="both"/>
              <w:rPr>
                <w:rFonts w:eastAsia="Times New Roman" w:cs="Arial"/>
                <w:bCs/>
                <w:sz w:val="24"/>
                <w:szCs w:val="24"/>
              </w:rPr>
            </w:pPr>
          </w:p>
        </w:tc>
      </w:tr>
      <w:tr w:rsidR="007B3147" w:rsidRPr="00301D4F" w14:paraId="7E27F920" w14:textId="77777777" w:rsidTr="00BF65A0">
        <w:trPr>
          <w:gridAfter w:val="1"/>
          <w:wAfter w:w="249" w:type="dxa"/>
        </w:trPr>
        <w:tc>
          <w:tcPr>
            <w:tcW w:w="885" w:type="dxa"/>
            <w:gridSpan w:val="2"/>
          </w:tcPr>
          <w:p w14:paraId="2FC50CBC" w14:textId="2D33463C" w:rsidR="007B3147" w:rsidRPr="00AA68D6" w:rsidRDefault="007B3147" w:rsidP="00573DBD">
            <w:pPr>
              <w:rPr>
                <w:rFonts w:eastAsia="Times New Roman" w:cs="Arial"/>
                <w:sz w:val="24"/>
                <w:szCs w:val="24"/>
              </w:rPr>
            </w:pPr>
            <w:r w:rsidRPr="00AA68D6">
              <w:rPr>
                <w:rFonts w:eastAsia="Times New Roman" w:cs="Arial"/>
                <w:sz w:val="24"/>
                <w:szCs w:val="24"/>
              </w:rPr>
              <w:t>2.</w:t>
            </w:r>
            <w:r w:rsidR="00AA68D6">
              <w:rPr>
                <w:rFonts w:eastAsia="Times New Roman" w:cs="Arial"/>
                <w:sz w:val="24"/>
                <w:szCs w:val="24"/>
              </w:rPr>
              <w:t>5</w:t>
            </w:r>
          </w:p>
        </w:tc>
        <w:tc>
          <w:tcPr>
            <w:tcW w:w="8931" w:type="dxa"/>
          </w:tcPr>
          <w:p w14:paraId="614746E0" w14:textId="2145A5D2" w:rsidR="007B3147" w:rsidRPr="00AA68D6" w:rsidRDefault="007B3147" w:rsidP="008B4485">
            <w:pPr>
              <w:jc w:val="both"/>
              <w:rPr>
                <w:rFonts w:eastAsia="Times New Roman" w:cs="Arial"/>
                <w:bCs/>
                <w:sz w:val="24"/>
                <w:szCs w:val="24"/>
              </w:rPr>
            </w:pPr>
            <w:r w:rsidRPr="00AA68D6">
              <w:rPr>
                <w:rFonts w:eastAsia="Times New Roman" w:cs="Arial"/>
                <w:b/>
                <w:sz w:val="24"/>
                <w:szCs w:val="24"/>
              </w:rPr>
              <w:t xml:space="preserve">Resources/Treasurer: </w:t>
            </w:r>
            <w:r w:rsidRPr="00AA68D6">
              <w:rPr>
                <w:rFonts w:eastAsia="Times New Roman" w:cs="Arial"/>
                <w:bCs/>
                <w:sz w:val="24"/>
                <w:szCs w:val="24"/>
              </w:rPr>
              <w:t>Expected underspend of £</w:t>
            </w:r>
            <w:r w:rsidR="00183A22" w:rsidRPr="00AA68D6">
              <w:rPr>
                <w:rFonts w:eastAsia="Times New Roman" w:cs="Arial"/>
                <w:bCs/>
                <w:sz w:val="24"/>
                <w:szCs w:val="24"/>
              </w:rPr>
              <w:t>57</w:t>
            </w:r>
            <w:r w:rsidRPr="00AA68D6">
              <w:rPr>
                <w:rFonts w:eastAsia="Times New Roman" w:cs="Arial"/>
                <w:bCs/>
                <w:sz w:val="24"/>
                <w:szCs w:val="24"/>
              </w:rPr>
              <w:t>,000, as follows:</w:t>
            </w:r>
          </w:p>
          <w:p w14:paraId="35865998" w14:textId="77777777" w:rsidR="007B3147" w:rsidRPr="00AA68D6" w:rsidRDefault="007B3147" w:rsidP="0080096F">
            <w:pPr>
              <w:jc w:val="both"/>
              <w:rPr>
                <w:rFonts w:eastAsia="Times New Roman" w:cs="Arial"/>
                <w:b/>
                <w:sz w:val="24"/>
                <w:szCs w:val="24"/>
              </w:rPr>
            </w:pPr>
          </w:p>
        </w:tc>
      </w:tr>
      <w:tr w:rsidR="002F5D0A" w:rsidRPr="00301D4F" w14:paraId="29F28C00" w14:textId="77777777" w:rsidTr="00B345A7">
        <w:trPr>
          <w:gridAfter w:val="1"/>
          <w:wAfter w:w="249" w:type="dxa"/>
        </w:trPr>
        <w:tc>
          <w:tcPr>
            <w:tcW w:w="885" w:type="dxa"/>
            <w:gridSpan w:val="2"/>
            <w:shd w:val="clear" w:color="auto" w:fill="auto"/>
          </w:tcPr>
          <w:p w14:paraId="0EC97A15" w14:textId="417B550F" w:rsidR="002F5D0A" w:rsidRPr="00AA68D6" w:rsidRDefault="002F5D0A" w:rsidP="00573DBD">
            <w:pPr>
              <w:rPr>
                <w:rFonts w:eastAsia="Times New Roman" w:cs="Arial"/>
                <w:sz w:val="24"/>
                <w:szCs w:val="24"/>
              </w:rPr>
            </w:pPr>
            <w:r w:rsidRPr="00AA68D6">
              <w:rPr>
                <w:rFonts w:eastAsia="Times New Roman" w:cs="Arial"/>
                <w:sz w:val="24"/>
                <w:szCs w:val="24"/>
              </w:rPr>
              <w:t>2.</w:t>
            </w:r>
            <w:r w:rsidR="00AA68D6">
              <w:rPr>
                <w:rFonts w:eastAsia="Times New Roman" w:cs="Arial"/>
                <w:sz w:val="24"/>
                <w:szCs w:val="24"/>
              </w:rPr>
              <w:t>5</w:t>
            </w:r>
            <w:r w:rsidRPr="00AA68D6">
              <w:rPr>
                <w:rFonts w:eastAsia="Times New Roman" w:cs="Arial"/>
                <w:sz w:val="24"/>
                <w:szCs w:val="24"/>
              </w:rPr>
              <w:t>.1</w:t>
            </w:r>
          </w:p>
        </w:tc>
        <w:tc>
          <w:tcPr>
            <w:tcW w:w="8931" w:type="dxa"/>
            <w:shd w:val="clear" w:color="auto" w:fill="auto"/>
          </w:tcPr>
          <w:p w14:paraId="18064F5E" w14:textId="33CB522F" w:rsidR="003D48C7" w:rsidRPr="00AA68D6" w:rsidRDefault="002F5D0A" w:rsidP="00A6658D">
            <w:pPr>
              <w:autoSpaceDE w:val="0"/>
              <w:autoSpaceDN w:val="0"/>
              <w:jc w:val="both"/>
              <w:rPr>
                <w:rFonts w:eastAsia="Times New Roman" w:cs="Arial"/>
                <w:sz w:val="24"/>
                <w:szCs w:val="24"/>
              </w:rPr>
            </w:pPr>
            <w:r w:rsidRPr="00AA68D6">
              <w:rPr>
                <w:rFonts w:eastAsia="Times New Roman" w:cs="Arial"/>
                <w:b/>
                <w:sz w:val="24"/>
                <w:szCs w:val="24"/>
              </w:rPr>
              <w:t>Estates:</w:t>
            </w:r>
            <w:r w:rsidRPr="00AA68D6">
              <w:rPr>
                <w:rFonts w:eastAsia="Times New Roman" w:cs="Arial"/>
                <w:sz w:val="24"/>
                <w:szCs w:val="24"/>
              </w:rPr>
              <w:t xml:space="preserve"> An </w:t>
            </w:r>
            <w:r w:rsidR="00183A22" w:rsidRPr="00AA68D6">
              <w:rPr>
                <w:rFonts w:eastAsia="Times New Roman" w:cs="Arial"/>
                <w:sz w:val="24"/>
                <w:szCs w:val="24"/>
              </w:rPr>
              <w:t>underspend of £1,000</w:t>
            </w:r>
            <w:r w:rsidRPr="00AA68D6">
              <w:rPr>
                <w:rFonts w:eastAsia="Times New Roman" w:cs="Arial"/>
                <w:sz w:val="24"/>
                <w:szCs w:val="24"/>
              </w:rPr>
              <w:t xml:space="preserve"> is expected (previously forecast £46,000 underspend). </w:t>
            </w:r>
            <w:r w:rsidR="003D48C7" w:rsidRPr="00AA68D6">
              <w:rPr>
                <w:rFonts w:eastAsia="Times New Roman" w:cs="Arial"/>
                <w:sz w:val="24"/>
                <w:szCs w:val="24"/>
              </w:rPr>
              <w:t xml:space="preserve"> The </w:t>
            </w:r>
            <w:r w:rsidR="00C31055">
              <w:rPr>
                <w:rFonts w:eastAsia="Times New Roman" w:cs="Arial"/>
                <w:sz w:val="24"/>
                <w:szCs w:val="24"/>
              </w:rPr>
              <w:t>under</w:t>
            </w:r>
            <w:r w:rsidR="00C31055" w:rsidRPr="00AA68D6">
              <w:rPr>
                <w:rFonts w:eastAsia="Times New Roman" w:cs="Arial"/>
                <w:sz w:val="24"/>
                <w:szCs w:val="24"/>
              </w:rPr>
              <w:t xml:space="preserve">spend </w:t>
            </w:r>
            <w:r w:rsidR="003D48C7" w:rsidRPr="00AA68D6">
              <w:rPr>
                <w:rFonts w:eastAsia="Times New Roman" w:cs="Arial"/>
                <w:sz w:val="24"/>
                <w:szCs w:val="24"/>
              </w:rPr>
              <w:t xml:space="preserve">can be attributed to </w:t>
            </w:r>
            <w:r w:rsidR="00C31055">
              <w:rPr>
                <w:rFonts w:eastAsia="Times New Roman" w:cs="Arial"/>
                <w:sz w:val="24"/>
                <w:szCs w:val="24"/>
              </w:rPr>
              <w:t xml:space="preserve">pressures on </w:t>
            </w:r>
            <w:r w:rsidR="003D48C7" w:rsidRPr="00AA68D6">
              <w:rPr>
                <w:rFonts w:eastAsia="Times New Roman" w:cs="Arial"/>
                <w:sz w:val="24"/>
                <w:szCs w:val="24"/>
              </w:rPr>
              <w:t xml:space="preserve">reactive maintenance (£55,000) </w:t>
            </w:r>
            <w:r w:rsidR="00C31055" w:rsidRPr="00AA68D6">
              <w:rPr>
                <w:rFonts w:eastAsia="Times New Roman" w:cs="Arial"/>
                <w:sz w:val="24"/>
                <w:szCs w:val="24"/>
              </w:rPr>
              <w:t>and RAAC</w:t>
            </w:r>
            <w:r w:rsidR="003D48C7" w:rsidRPr="00AA68D6">
              <w:rPr>
                <w:rFonts w:eastAsia="Times New Roman" w:cs="Arial"/>
                <w:sz w:val="24"/>
                <w:szCs w:val="24"/>
              </w:rPr>
              <w:t xml:space="preserve"> surveys (£40,000), offset by underspends on planned maintenance (£58,000) and staffing due to vacancies (£30,000).  There are a number of small variances across the department.</w:t>
            </w:r>
          </w:p>
          <w:p w14:paraId="3560E941" w14:textId="77777777" w:rsidR="003D48C7" w:rsidRPr="00AA68D6" w:rsidRDefault="003D48C7" w:rsidP="00A6658D">
            <w:pPr>
              <w:autoSpaceDE w:val="0"/>
              <w:autoSpaceDN w:val="0"/>
              <w:jc w:val="both"/>
              <w:rPr>
                <w:rFonts w:eastAsia="Times New Roman" w:cs="Arial"/>
                <w:sz w:val="24"/>
                <w:szCs w:val="24"/>
              </w:rPr>
            </w:pPr>
          </w:p>
          <w:p w14:paraId="3B9E0C7C" w14:textId="32D7CAFE" w:rsidR="002F5D0A" w:rsidRPr="00AA68D6" w:rsidRDefault="003D48C7" w:rsidP="003D48C7">
            <w:pPr>
              <w:autoSpaceDE w:val="0"/>
              <w:autoSpaceDN w:val="0"/>
              <w:jc w:val="both"/>
              <w:rPr>
                <w:rFonts w:eastAsia="Times New Roman" w:cs="Arial"/>
                <w:sz w:val="24"/>
                <w:szCs w:val="24"/>
              </w:rPr>
            </w:pPr>
            <w:r w:rsidRPr="00AA68D6">
              <w:rPr>
                <w:rFonts w:eastAsia="Times New Roman" w:cs="Arial"/>
                <w:sz w:val="24"/>
                <w:szCs w:val="24"/>
              </w:rPr>
              <w:t>The movement since P6 can be</w:t>
            </w:r>
            <w:r w:rsidR="00C31055">
              <w:rPr>
                <w:rFonts w:eastAsia="Times New Roman" w:cs="Arial"/>
                <w:sz w:val="24"/>
                <w:szCs w:val="24"/>
              </w:rPr>
              <w:t xml:space="preserve"> </w:t>
            </w:r>
            <w:r w:rsidRPr="00AA68D6">
              <w:rPr>
                <w:rFonts w:eastAsia="Times New Roman" w:cs="Arial"/>
                <w:sz w:val="24"/>
                <w:szCs w:val="24"/>
              </w:rPr>
              <w:t xml:space="preserve">attributed </w:t>
            </w:r>
            <w:r w:rsidR="00C31055">
              <w:rPr>
                <w:rFonts w:eastAsia="Times New Roman" w:cs="Arial"/>
                <w:sz w:val="24"/>
                <w:szCs w:val="24"/>
              </w:rPr>
              <w:t xml:space="preserve">primarily </w:t>
            </w:r>
            <w:r w:rsidRPr="00AA68D6">
              <w:rPr>
                <w:rFonts w:eastAsia="Times New Roman" w:cs="Arial"/>
                <w:sz w:val="24"/>
                <w:szCs w:val="24"/>
              </w:rPr>
              <w:t xml:space="preserve">to RAAC surveys (£40,000) </w:t>
            </w:r>
            <w:r w:rsidR="0085187C">
              <w:rPr>
                <w:rFonts w:eastAsia="Times New Roman" w:cs="Arial"/>
                <w:sz w:val="24"/>
                <w:szCs w:val="24"/>
              </w:rPr>
              <w:t>with other small movements on maintenance and staffing, where a vacancy has been filled earlier than previously anticipated.</w:t>
            </w:r>
          </w:p>
          <w:p w14:paraId="625D221D" w14:textId="58AE8E83" w:rsidR="003D48C7" w:rsidRPr="00AA68D6" w:rsidRDefault="003D48C7" w:rsidP="003D48C7">
            <w:pPr>
              <w:autoSpaceDE w:val="0"/>
              <w:autoSpaceDN w:val="0"/>
              <w:jc w:val="both"/>
              <w:rPr>
                <w:rFonts w:eastAsia="Times New Roman" w:cs="Arial"/>
                <w:bCs/>
                <w:sz w:val="24"/>
                <w:szCs w:val="24"/>
              </w:rPr>
            </w:pPr>
          </w:p>
        </w:tc>
      </w:tr>
      <w:tr w:rsidR="002F5D0A" w:rsidRPr="00301D4F" w14:paraId="635A3E27" w14:textId="77777777" w:rsidTr="000604FB">
        <w:trPr>
          <w:gridAfter w:val="1"/>
          <w:wAfter w:w="249" w:type="dxa"/>
        </w:trPr>
        <w:tc>
          <w:tcPr>
            <w:tcW w:w="885" w:type="dxa"/>
            <w:gridSpan w:val="2"/>
          </w:tcPr>
          <w:p w14:paraId="023727C9" w14:textId="118467AD" w:rsidR="002F5D0A" w:rsidRPr="00AA68D6" w:rsidRDefault="002F5D0A" w:rsidP="00573DBD">
            <w:pPr>
              <w:rPr>
                <w:rFonts w:eastAsia="Times New Roman" w:cs="Arial"/>
                <w:sz w:val="24"/>
                <w:szCs w:val="24"/>
              </w:rPr>
            </w:pPr>
            <w:r w:rsidRPr="00AA68D6">
              <w:rPr>
                <w:rFonts w:eastAsia="Times New Roman" w:cs="Arial"/>
                <w:sz w:val="24"/>
                <w:szCs w:val="24"/>
              </w:rPr>
              <w:t>2.</w:t>
            </w:r>
            <w:r w:rsidR="00AA68D6">
              <w:rPr>
                <w:rFonts w:eastAsia="Times New Roman" w:cs="Arial"/>
                <w:sz w:val="24"/>
                <w:szCs w:val="24"/>
              </w:rPr>
              <w:t>5</w:t>
            </w:r>
            <w:r w:rsidRPr="00AA68D6">
              <w:rPr>
                <w:rFonts w:eastAsia="Times New Roman" w:cs="Arial"/>
                <w:sz w:val="24"/>
                <w:szCs w:val="24"/>
              </w:rPr>
              <w:t>.2</w:t>
            </w:r>
          </w:p>
        </w:tc>
        <w:tc>
          <w:tcPr>
            <w:tcW w:w="8931" w:type="dxa"/>
          </w:tcPr>
          <w:p w14:paraId="7F4F355A" w14:textId="3169171F" w:rsidR="002F5D0A" w:rsidRPr="00AA68D6" w:rsidRDefault="002F5D0A" w:rsidP="00A6658D">
            <w:pPr>
              <w:autoSpaceDE w:val="0"/>
              <w:autoSpaceDN w:val="0"/>
              <w:jc w:val="both"/>
              <w:rPr>
                <w:rFonts w:eastAsia="Times New Roman" w:cs="Arial"/>
                <w:sz w:val="24"/>
                <w:szCs w:val="24"/>
              </w:rPr>
            </w:pPr>
            <w:bookmarkStart w:id="0" w:name="_Hlk89763208"/>
            <w:r w:rsidRPr="00AA68D6">
              <w:rPr>
                <w:rFonts w:eastAsia="Times New Roman" w:cs="Arial"/>
                <w:b/>
                <w:sz w:val="24"/>
                <w:szCs w:val="24"/>
              </w:rPr>
              <w:t xml:space="preserve">ITG: </w:t>
            </w:r>
            <w:bookmarkEnd w:id="0"/>
            <w:r w:rsidRPr="00AA68D6">
              <w:rPr>
                <w:rFonts w:eastAsia="Times New Roman" w:cs="Arial"/>
                <w:sz w:val="24"/>
                <w:szCs w:val="24"/>
              </w:rPr>
              <w:t>Currently expecting an underspend of £1</w:t>
            </w:r>
            <w:r w:rsidR="00183A22" w:rsidRPr="00AA68D6">
              <w:rPr>
                <w:rFonts w:eastAsia="Times New Roman" w:cs="Arial"/>
                <w:sz w:val="24"/>
                <w:szCs w:val="24"/>
              </w:rPr>
              <w:t>1</w:t>
            </w:r>
            <w:r w:rsidRPr="00AA68D6">
              <w:rPr>
                <w:rFonts w:eastAsia="Times New Roman" w:cs="Arial"/>
                <w:sz w:val="24"/>
                <w:szCs w:val="24"/>
              </w:rPr>
              <w:t>,000 (previous forecast £1</w:t>
            </w:r>
            <w:r w:rsidR="001F34C6" w:rsidRPr="00AA68D6">
              <w:rPr>
                <w:rFonts w:eastAsia="Times New Roman" w:cs="Arial"/>
                <w:sz w:val="24"/>
                <w:szCs w:val="24"/>
              </w:rPr>
              <w:t>20</w:t>
            </w:r>
            <w:r w:rsidRPr="00AA68D6">
              <w:rPr>
                <w:rFonts w:eastAsia="Times New Roman" w:cs="Arial"/>
                <w:sz w:val="24"/>
                <w:szCs w:val="24"/>
              </w:rPr>
              <w:t>,000 underspend).  The underspend relates to project delays in Paging &amp; Alerting, Health &amp; Safety Management system and EDRMS (£9</w:t>
            </w:r>
            <w:r w:rsidR="00212BB9" w:rsidRPr="00AA68D6">
              <w:rPr>
                <w:rFonts w:eastAsia="Times New Roman" w:cs="Arial"/>
                <w:sz w:val="24"/>
                <w:szCs w:val="24"/>
              </w:rPr>
              <w:t>8</w:t>
            </w:r>
            <w:r w:rsidRPr="00AA68D6">
              <w:rPr>
                <w:rFonts w:eastAsia="Times New Roman" w:cs="Arial"/>
                <w:sz w:val="24"/>
                <w:szCs w:val="24"/>
              </w:rPr>
              <w:t>,000), delay in the rollout of MLL WAN services (£</w:t>
            </w:r>
            <w:r w:rsidR="00212BB9" w:rsidRPr="00AA68D6">
              <w:rPr>
                <w:rFonts w:eastAsia="Times New Roman" w:cs="Arial"/>
                <w:sz w:val="24"/>
                <w:szCs w:val="24"/>
              </w:rPr>
              <w:t>13</w:t>
            </w:r>
            <w:r w:rsidRPr="00AA68D6">
              <w:rPr>
                <w:rFonts w:eastAsia="Times New Roman" w:cs="Arial"/>
                <w:sz w:val="24"/>
                <w:szCs w:val="24"/>
              </w:rPr>
              <w:t>,000), a reduction in CRM and Airbus licences (£</w:t>
            </w:r>
            <w:r w:rsidR="00212BB9" w:rsidRPr="00AA68D6">
              <w:rPr>
                <w:rFonts w:eastAsia="Times New Roman" w:cs="Arial"/>
                <w:sz w:val="24"/>
                <w:szCs w:val="24"/>
              </w:rPr>
              <w:t>51</w:t>
            </w:r>
            <w:r w:rsidRPr="00AA68D6">
              <w:rPr>
                <w:rFonts w:eastAsia="Times New Roman" w:cs="Arial"/>
                <w:sz w:val="24"/>
                <w:szCs w:val="24"/>
              </w:rPr>
              <w:t>,000)</w:t>
            </w:r>
            <w:r w:rsidR="00212BB9" w:rsidRPr="00AA68D6">
              <w:rPr>
                <w:rFonts w:eastAsia="Times New Roman" w:cs="Arial"/>
                <w:sz w:val="24"/>
                <w:szCs w:val="24"/>
              </w:rPr>
              <w:t>,</w:t>
            </w:r>
            <w:r w:rsidRPr="00AA68D6">
              <w:rPr>
                <w:rFonts w:eastAsia="Times New Roman" w:cs="Arial"/>
                <w:sz w:val="24"/>
                <w:szCs w:val="24"/>
              </w:rPr>
              <w:t xml:space="preserve"> reduced charges from JFC (£10,000)</w:t>
            </w:r>
            <w:r w:rsidR="00212BB9" w:rsidRPr="00AA68D6">
              <w:rPr>
                <w:rFonts w:eastAsia="Times New Roman" w:cs="Arial"/>
                <w:sz w:val="24"/>
                <w:szCs w:val="24"/>
              </w:rPr>
              <w:t xml:space="preserve"> and reduced charges from BT due to cease dates</w:t>
            </w:r>
            <w:r w:rsidR="001E1989">
              <w:rPr>
                <w:rFonts w:eastAsia="Times New Roman" w:cs="Arial"/>
                <w:sz w:val="24"/>
                <w:szCs w:val="24"/>
              </w:rPr>
              <w:t xml:space="preserve"> being earlier than anticipated</w:t>
            </w:r>
            <w:r w:rsidR="00212BB9" w:rsidRPr="00AA68D6">
              <w:rPr>
                <w:rFonts w:eastAsia="Times New Roman" w:cs="Arial"/>
                <w:sz w:val="24"/>
                <w:szCs w:val="24"/>
              </w:rPr>
              <w:t xml:space="preserve"> (£17,000)</w:t>
            </w:r>
            <w:r w:rsidRPr="00AA68D6">
              <w:rPr>
                <w:rFonts w:eastAsia="Times New Roman" w:cs="Arial"/>
                <w:sz w:val="24"/>
                <w:szCs w:val="24"/>
              </w:rPr>
              <w:t xml:space="preserve">.  These are offset by pressures for </w:t>
            </w:r>
            <w:proofErr w:type="spellStart"/>
            <w:r w:rsidRPr="00AA68D6">
              <w:rPr>
                <w:rFonts w:eastAsia="Times New Roman" w:cs="Arial"/>
                <w:sz w:val="24"/>
                <w:szCs w:val="24"/>
              </w:rPr>
              <w:t>Firelink</w:t>
            </w:r>
            <w:proofErr w:type="spellEnd"/>
            <w:r w:rsidRPr="00AA68D6">
              <w:rPr>
                <w:rFonts w:eastAsia="Times New Roman" w:cs="Arial"/>
                <w:sz w:val="24"/>
                <w:szCs w:val="24"/>
              </w:rPr>
              <w:t xml:space="preserve"> charges, where inflation of 13.5% has been applied (£79,000),</w:t>
            </w:r>
            <w:r w:rsidR="00212BB9" w:rsidRPr="00AA68D6">
              <w:rPr>
                <w:rFonts w:eastAsia="Times New Roman" w:cs="Arial"/>
                <w:sz w:val="24"/>
                <w:szCs w:val="24"/>
              </w:rPr>
              <w:t xml:space="preserve"> primary </w:t>
            </w:r>
            <w:r w:rsidR="00212BB9" w:rsidRPr="00AA68D6">
              <w:rPr>
                <w:rFonts w:eastAsia="Times New Roman" w:cs="Arial"/>
                <w:sz w:val="24"/>
                <w:szCs w:val="24"/>
              </w:rPr>
              <w:lastRenderedPageBreak/>
              <w:t>datacentre relocation (£50,000),</w:t>
            </w:r>
            <w:r w:rsidRPr="00AA68D6">
              <w:rPr>
                <w:rFonts w:eastAsia="Times New Roman" w:cs="Arial"/>
                <w:sz w:val="24"/>
                <w:szCs w:val="24"/>
              </w:rPr>
              <w:t xml:space="preserve"> additional Webex and Office 365 licences (£</w:t>
            </w:r>
            <w:r w:rsidR="00212BB9" w:rsidRPr="00AA68D6">
              <w:rPr>
                <w:rFonts w:eastAsia="Times New Roman" w:cs="Arial"/>
                <w:sz w:val="24"/>
                <w:szCs w:val="24"/>
              </w:rPr>
              <w:t>24</w:t>
            </w:r>
            <w:r w:rsidRPr="00AA68D6">
              <w:rPr>
                <w:rFonts w:eastAsia="Times New Roman" w:cs="Arial"/>
                <w:sz w:val="24"/>
                <w:szCs w:val="24"/>
              </w:rPr>
              <w:t>,000), additional SIM cards for portable devices, caused by CRM tablets and increased mobile working (£18,000), assumed reduction in printing not realised (£8,000), staff vacancy factor not realised (£4,000)</w:t>
            </w:r>
            <w:r w:rsidR="00212BB9" w:rsidRPr="00AA68D6">
              <w:rPr>
                <w:rFonts w:eastAsia="Times New Roman" w:cs="Arial"/>
                <w:sz w:val="24"/>
                <w:szCs w:val="24"/>
              </w:rPr>
              <w:t>, along with other small overspends and underspends across the department</w:t>
            </w:r>
            <w:r w:rsidRPr="00AA68D6">
              <w:rPr>
                <w:rFonts w:eastAsia="Times New Roman" w:cs="Arial"/>
                <w:sz w:val="24"/>
                <w:szCs w:val="24"/>
              </w:rPr>
              <w:t>.</w:t>
            </w:r>
          </w:p>
          <w:p w14:paraId="1CBEC8B1" w14:textId="77777777" w:rsidR="002F5D0A" w:rsidRPr="00AA68D6" w:rsidRDefault="002F5D0A" w:rsidP="00A6658D">
            <w:pPr>
              <w:autoSpaceDE w:val="0"/>
              <w:autoSpaceDN w:val="0"/>
              <w:jc w:val="both"/>
              <w:rPr>
                <w:rFonts w:eastAsia="Times New Roman" w:cs="Arial"/>
                <w:sz w:val="24"/>
                <w:szCs w:val="24"/>
              </w:rPr>
            </w:pPr>
          </w:p>
          <w:p w14:paraId="5E25DFAD" w14:textId="3513B255" w:rsidR="002F5D0A" w:rsidRPr="00AA68D6" w:rsidRDefault="00341730" w:rsidP="00A6658D">
            <w:pPr>
              <w:autoSpaceDE w:val="0"/>
              <w:autoSpaceDN w:val="0"/>
              <w:jc w:val="both"/>
              <w:rPr>
                <w:rFonts w:eastAsia="Times New Roman" w:cs="Arial"/>
                <w:sz w:val="24"/>
                <w:szCs w:val="24"/>
              </w:rPr>
            </w:pPr>
            <w:r w:rsidRPr="00AA68D6">
              <w:rPr>
                <w:rFonts w:eastAsia="Times New Roman" w:cs="Arial"/>
                <w:sz w:val="24"/>
                <w:szCs w:val="24"/>
              </w:rPr>
              <w:t xml:space="preserve">The reduction in underspend since P6 can be attributed </w:t>
            </w:r>
            <w:r w:rsidR="00400EC0">
              <w:rPr>
                <w:rFonts w:eastAsia="Times New Roman" w:cs="Arial"/>
                <w:sz w:val="24"/>
                <w:szCs w:val="24"/>
              </w:rPr>
              <w:t xml:space="preserve">Primary datacentre relocation (£50,000), </w:t>
            </w:r>
            <w:r w:rsidRPr="00AA68D6">
              <w:rPr>
                <w:rFonts w:eastAsia="Times New Roman" w:cs="Arial"/>
                <w:sz w:val="24"/>
                <w:szCs w:val="24"/>
              </w:rPr>
              <w:t xml:space="preserve">increased WAN costs due to the faster rollout of </w:t>
            </w:r>
            <w:r w:rsidR="00C31055">
              <w:rPr>
                <w:rFonts w:eastAsia="Times New Roman" w:cs="Arial"/>
                <w:sz w:val="24"/>
                <w:szCs w:val="24"/>
              </w:rPr>
              <w:t xml:space="preserve">new </w:t>
            </w:r>
            <w:r w:rsidRPr="00AA68D6">
              <w:rPr>
                <w:rFonts w:eastAsia="Times New Roman" w:cs="Arial"/>
                <w:sz w:val="24"/>
                <w:szCs w:val="24"/>
              </w:rPr>
              <w:t>MLL</w:t>
            </w:r>
            <w:r w:rsidR="00C31055">
              <w:rPr>
                <w:rFonts w:eastAsia="Times New Roman" w:cs="Arial"/>
                <w:sz w:val="24"/>
                <w:szCs w:val="24"/>
              </w:rPr>
              <w:t xml:space="preserve"> service</w:t>
            </w:r>
            <w:r w:rsidRPr="00AA68D6">
              <w:rPr>
                <w:rFonts w:eastAsia="Times New Roman" w:cs="Arial"/>
                <w:sz w:val="24"/>
                <w:szCs w:val="24"/>
              </w:rPr>
              <w:t xml:space="preserve"> (£35,000) and shared</w:t>
            </w:r>
            <w:r w:rsidR="00400EC0">
              <w:rPr>
                <w:rFonts w:eastAsia="Times New Roman" w:cs="Arial"/>
                <w:sz w:val="24"/>
                <w:szCs w:val="24"/>
              </w:rPr>
              <w:t xml:space="preserve"> MLL</w:t>
            </w:r>
            <w:r w:rsidRPr="00AA68D6">
              <w:rPr>
                <w:rFonts w:eastAsia="Times New Roman" w:cs="Arial"/>
                <w:sz w:val="24"/>
                <w:szCs w:val="24"/>
              </w:rPr>
              <w:t xml:space="preserve"> implementation costs not previously forecast (£2</w:t>
            </w:r>
            <w:r w:rsidR="00400EC0">
              <w:rPr>
                <w:rFonts w:eastAsia="Times New Roman" w:cs="Arial"/>
                <w:sz w:val="24"/>
                <w:szCs w:val="24"/>
              </w:rPr>
              <w:t>7</w:t>
            </w:r>
            <w:r w:rsidRPr="00AA68D6">
              <w:rPr>
                <w:rFonts w:eastAsia="Times New Roman" w:cs="Arial"/>
                <w:sz w:val="24"/>
                <w:szCs w:val="24"/>
              </w:rPr>
              <w:t xml:space="preserve">,000), </w:t>
            </w:r>
            <w:r w:rsidR="00400EC0">
              <w:rPr>
                <w:rFonts w:eastAsia="Times New Roman" w:cs="Arial"/>
                <w:sz w:val="24"/>
                <w:szCs w:val="24"/>
              </w:rPr>
              <w:t xml:space="preserve">CRM and Airbus licences (£37,000) </w:t>
            </w:r>
            <w:r w:rsidRPr="00AA68D6">
              <w:rPr>
                <w:rFonts w:eastAsia="Times New Roman" w:cs="Arial"/>
                <w:sz w:val="24"/>
                <w:szCs w:val="24"/>
              </w:rPr>
              <w:t>offset by reductions due to BT lines being ceased (£17,000)</w:t>
            </w:r>
            <w:r w:rsidR="00D6691D">
              <w:rPr>
                <w:rFonts w:eastAsia="Times New Roman" w:cs="Arial"/>
                <w:sz w:val="24"/>
                <w:szCs w:val="24"/>
              </w:rPr>
              <w:t xml:space="preserve"> and a reduction in Webex and Office 365 licences (£12,000)</w:t>
            </w:r>
            <w:r w:rsidRPr="00AA68D6">
              <w:rPr>
                <w:rFonts w:eastAsia="Times New Roman" w:cs="Arial"/>
                <w:sz w:val="24"/>
                <w:szCs w:val="24"/>
              </w:rPr>
              <w:t xml:space="preserve"> and other small </w:t>
            </w:r>
            <w:r w:rsidR="00D518DC">
              <w:rPr>
                <w:rFonts w:eastAsia="Times New Roman" w:cs="Arial"/>
                <w:sz w:val="24"/>
                <w:szCs w:val="24"/>
              </w:rPr>
              <w:t>movements</w:t>
            </w:r>
            <w:r w:rsidR="00D518DC" w:rsidRPr="00AA68D6">
              <w:rPr>
                <w:rFonts w:eastAsia="Times New Roman" w:cs="Arial"/>
                <w:sz w:val="24"/>
                <w:szCs w:val="24"/>
              </w:rPr>
              <w:t xml:space="preserve"> </w:t>
            </w:r>
            <w:r w:rsidRPr="00AA68D6">
              <w:rPr>
                <w:rFonts w:eastAsia="Times New Roman" w:cs="Arial"/>
                <w:sz w:val="24"/>
                <w:szCs w:val="24"/>
              </w:rPr>
              <w:t>across the department (£</w:t>
            </w:r>
            <w:r w:rsidR="00D518DC">
              <w:rPr>
                <w:rFonts w:eastAsia="Times New Roman" w:cs="Arial"/>
                <w:sz w:val="24"/>
                <w:szCs w:val="24"/>
              </w:rPr>
              <w:t>9</w:t>
            </w:r>
            <w:r w:rsidRPr="00AA68D6">
              <w:rPr>
                <w:rFonts w:eastAsia="Times New Roman" w:cs="Arial"/>
                <w:sz w:val="24"/>
                <w:szCs w:val="24"/>
              </w:rPr>
              <w:t>,000).</w:t>
            </w:r>
          </w:p>
          <w:p w14:paraId="18FE0032" w14:textId="77777777" w:rsidR="002F5D0A" w:rsidRPr="00AA68D6" w:rsidRDefault="002F5D0A" w:rsidP="0080096F">
            <w:pPr>
              <w:jc w:val="both"/>
              <w:rPr>
                <w:rFonts w:eastAsia="Times New Roman" w:cs="Arial"/>
                <w:b/>
                <w:sz w:val="24"/>
                <w:szCs w:val="24"/>
              </w:rPr>
            </w:pPr>
          </w:p>
        </w:tc>
      </w:tr>
      <w:tr w:rsidR="002F5D0A" w:rsidRPr="00301D4F" w14:paraId="49F5D4A9" w14:textId="77777777" w:rsidTr="00B345A7">
        <w:trPr>
          <w:gridAfter w:val="1"/>
          <w:wAfter w:w="249" w:type="dxa"/>
        </w:trPr>
        <w:tc>
          <w:tcPr>
            <w:tcW w:w="885" w:type="dxa"/>
            <w:gridSpan w:val="2"/>
          </w:tcPr>
          <w:p w14:paraId="4BEEBA3A" w14:textId="0FA1ACA7" w:rsidR="002F5D0A" w:rsidRPr="00AA68D6" w:rsidRDefault="002F5D0A" w:rsidP="00573DBD">
            <w:pPr>
              <w:rPr>
                <w:rFonts w:eastAsia="Times New Roman" w:cs="Arial"/>
                <w:sz w:val="24"/>
                <w:szCs w:val="24"/>
              </w:rPr>
            </w:pPr>
            <w:r w:rsidRPr="00AA68D6">
              <w:rPr>
                <w:rFonts w:eastAsia="Times New Roman" w:cs="Arial"/>
                <w:sz w:val="24"/>
                <w:szCs w:val="24"/>
              </w:rPr>
              <w:lastRenderedPageBreak/>
              <w:t>2.</w:t>
            </w:r>
            <w:r w:rsidR="00AA68D6">
              <w:rPr>
                <w:rFonts w:eastAsia="Times New Roman" w:cs="Arial"/>
                <w:sz w:val="24"/>
                <w:szCs w:val="24"/>
              </w:rPr>
              <w:t>5</w:t>
            </w:r>
            <w:r w:rsidRPr="00AA68D6">
              <w:rPr>
                <w:rFonts w:eastAsia="Times New Roman" w:cs="Arial"/>
                <w:sz w:val="24"/>
                <w:szCs w:val="24"/>
              </w:rPr>
              <w:t>.3</w:t>
            </w:r>
          </w:p>
        </w:tc>
        <w:tc>
          <w:tcPr>
            <w:tcW w:w="8931" w:type="dxa"/>
          </w:tcPr>
          <w:p w14:paraId="53FA56E2" w14:textId="27924A72" w:rsidR="002F5D0A" w:rsidRPr="00AA68D6" w:rsidRDefault="002F5D0A" w:rsidP="00A6658D">
            <w:pPr>
              <w:autoSpaceDE w:val="0"/>
              <w:autoSpaceDN w:val="0"/>
              <w:jc w:val="both"/>
              <w:rPr>
                <w:rFonts w:eastAsia="Times New Roman" w:cs="Arial"/>
                <w:bCs/>
                <w:sz w:val="24"/>
                <w:szCs w:val="24"/>
              </w:rPr>
            </w:pPr>
            <w:r w:rsidRPr="00AA68D6">
              <w:rPr>
                <w:rFonts w:eastAsia="Times New Roman" w:cs="Arial"/>
                <w:b/>
                <w:sz w:val="24"/>
                <w:szCs w:val="24"/>
              </w:rPr>
              <w:t xml:space="preserve">Procurement: </w:t>
            </w:r>
            <w:r w:rsidRPr="00AA68D6">
              <w:rPr>
                <w:rFonts w:eastAsia="Times New Roman" w:cs="Arial"/>
                <w:bCs/>
                <w:sz w:val="24"/>
                <w:szCs w:val="24"/>
              </w:rPr>
              <w:t>An underspend of £</w:t>
            </w:r>
            <w:r w:rsidR="00183A22" w:rsidRPr="00AA68D6">
              <w:rPr>
                <w:rFonts w:eastAsia="Times New Roman" w:cs="Arial"/>
                <w:bCs/>
                <w:sz w:val="24"/>
                <w:szCs w:val="24"/>
              </w:rPr>
              <w:t>12</w:t>
            </w:r>
            <w:r w:rsidRPr="00AA68D6">
              <w:rPr>
                <w:rFonts w:eastAsia="Times New Roman" w:cs="Arial"/>
                <w:bCs/>
                <w:sz w:val="24"/>
                <w:szCs w:val="24"/>
              </w:rPr>
              <w:t>,000 is expected (previously forecast £36,000 overspend). Underspend of £</w:t>
            </w:r>
            <w:r w:rsidR="00183A22" w:rsidRPr="00AA68D6">
              <w:rPr>
                <w:rFonts w:eastAsia="Times New Roman" w:cs="Arial"/>
                <w:bCs/>
                <w:sz w:val="24"/>
                <w:szCs w:val="24"/>
              </w:rPr>
              <w:t>42,</w:t>
            </w:r>
            <w:r w:rsidRPr="00AA68D6">
              <w:rPr>
                <w:rFonts w:eastAsia="Times New Roman" w:cs="Arial"/>
                <w:bCs/>
                <w:sz w:val="24"/>
                <w:szCs w:val="24"/>
              </w:rPr>
              <w:t xml:space="preserve">000 is attributable to staff pay due to a vacancy and £15,000 against the consultancy budget.  This is offset by </w:t>
            </w:r>
            <w:r w:rsidR="00F96BFD">
              <w:rPr>
                <w:rFonts w:eastAsia="Times New Roman" w:cs="Arial"/>
                <w:bCs/>
                <w:sz w:val="24"/>
                <w:szCs w:val="24"/>
              </w:rPr>
              <w:t xml:space="preserve">an </w:t>
            </w:r>
            <w:r w:rsidRPr="00AA68D6">
              <w:rPr>
                <w:rFonts w:eastAsia="Times New Roman" w:cs="Arial"/>
                <w:bCs/>
                <w:sz w:val="24"/>
                <w:szCs w:val="24"/>
              </w:rPr>
              <w:t>overspend of £45,000 relating to PPE where there is an expected inflationary increase of 17.1%.</w:t>
            </w:r>
          </w:p>
          <w:p w14:paraId="45E404B4" w14:textId="77777777" w:rsidR="002F5D0A" w:rsidRPr="00AA68D6" w:rsidRDefault="002F5D0A" w:rsidP="00A6658D">
            <w:pPr>
              <w:autoSpaceDE w:val="0"/>
              <w:autoSpaceDN w:val="0"/>
              <w:jc w:val="both"/>
              <w:rPr>
                <w:rFonts w:eastAsia="Times New Roman" w:cs="Arial"/>
                <w:bCs/>
                <w:sz w:val="24"/>
                <w:szCs w:val="24"/>
              </w:rPr>
            </w:pPr>
          </w:p>
          <w:p w14:paraId="57954462" w14:textId="77777777" w:rsidR="002F5D0A" w:rsidRPr="00AA68D6" w:rsidRDefault="002F5D0A" w:rsidP="00A6658D">
            <w:pPr>
              <w:autoSpaceDE w:val="0"/>
              <w:autoSpaceDN w:val="0"/>
              <w:jc w:val="both"/>
              <w:rPr>
                <w:rFonts w:eastAsia="Times New Roman" w:cs="Arial"/>
                <w:bCs/>
                <w:sz w:val="24"/>
                <w:szCs w:val="24"/>
              </w:rPr>
            </w:pPr>
            <w:r w:rsidRPr="00AA68D6">
              <w:rPr>
                <w:rFonts w:eastAsia="Times New Roman" w:cs="Arial"/>
                <w:bCs/>
                <w:sz w:val="24"/>
                <w:szCs w:val="24"/>
              </w:rPr>
              <w:t>The movement since P6 can be attributed to an error in the calculation of backdated pay awards and an adjustment to the vacancy period.</w:t>
            </w:r>
          </w:p>
          <w:p w14:paraId="206B284D" w14:textId="0F69D3C1" w:rsidR="002F5D0A" w:rsidRPr="00AA68D6" w:rsidRDefault="002F5D0A" w:rsidP="00A6658D">
            <w:pPr>
              <w:jc w:val="both"/>
              <w:rPr>
                <w:rFonts w:eastAsia="Times New Roman" w:cs="Arial"/>
                <w:bCs/>
                <w:sz w:val="24"/>
                <w:szCs w:val="24"/>
              </w:rPr>
            </w:pPr>
          </w:p>
        </w:tc>
      </w:tr>
      <w:tr w:rsidR="002F5D0A" w:rsidRPr="00301D4F" w14:paraId="7178E19D" w14:textId="77777777" w:rsidTr="00CC02BE">
        <w:trPr>
          <w:gridAfter w:val="1"/>
          <w:wAfter w:w="249" w:type="dxa"/>
        </w:trPr>
        <w:tc>
          <w:tcPr>
            <w:tcW w:w="885" w:type="dxa"/>
            <w:gridSpan w:val="2"/>
          </w:tcPr>
          <w:p w14:paraId="6709744A" w14:textId="08A22BDB" w:rsidR="002F5D0A" w:rsidRPr="00AA68D6" w:rsidRDefault="002F5D0A" w:rsidP="00573DBD">
            <w:pPr>
              <w:rPr>
                <w:rFonts w:eastAsia="Times New Roman" w:cs="Arial"/>
                <w:sz w:val="24"/>
                <w:szCs w:val="24"/>
              </w:rPr>
            </w:pPr>
            <w:r w:rsidRPr="00AA68D6">
              <w:rPr>
                <w:rFonts w:eastAsia="Times New Roman" w:cs="Arial"/>
                <w:sz w:val="24"/>
                <w:szCs w:val="24"/>
              </w:rPr>
              <w:t>2.</w:t>
            </w:r>
            <w:r w:rsidR="00AA68D6">
              <w:rPr>
                <w:rFonts w:eastAsia="Times New Roman" w:cs="Arial"/>
                <w:sz w:val="24"/>
                <w:szCs w:val="24"/>
              </w:rPr>
              <w:t>5</w:t>
            </w:r>
            <w:r w:rsidRPr="00AA68D6">
              <w:rPr>
                <w:rFonts w:eastAsia="Times New Roman" w:cs="Arial"/>
                <w:sz w:val="24"/>
                <w:szCs w:val="24"/>
              </w:rPr>
              <w:t>.4</w:t>
            </w:r>
          </w:p>
        </w:tc>
        <w:tc>
          <w:tcPr>
            <w:tcW w:w="8931" w:type="dxa"/>
          </w:tcPr>
          <w:p w14:paraId="37DA74BC" w14:textId="251A44F0" w:rsidR="002F5D0A" w:rsidRPr="00AA68D6" w:rsidRDefault="002F5D0A" w:rsidP="00A6658D">
            <w:pPr>
              <w:autoSpaceDE w:val="0"/>
              <w:autoSpaceDN w:val="0"/>
              <w:jc w:val="both"/>
              <w:rPr>
                <w:rFonts w:eastAsia="Times New Roman" w:cs="Arial"/>
                <w:bCs/>
                <w:sz w:val="24"/>
                <w:szCs w:val="24"/>
              </w:rPr>
            </w:pPr>
            <w:r w:rsidRPr="00AA68D6">
              <w:rPr>
                <w:rFonts w:eastAsia="Times New Roman" w:cs="Arial"/>
                <w:b/>
                <w:sz w:val="24"/>
                <w:szCs w:val="24"/>
              </w:rPr>
              <w:t>Finance</w:t>
            </w:r>
            <w:r w:rsidRPr="00AA68D6">
              <w:rPr>
                <w:rFonts w:eastAsia="Times New Roman" w:cs="Arial"/>
                <w:bCs/>
                <w:sz w:val="24"/>
                <w:szCs w:val="24"/>
              </w:rPr>
              <w:t>:</w:t>
            </w:r>
            <w:r w:rsidR="00964807" w:rsidRPr="00AA68D6">
              <w:rPr>
                <w:rFonts w:eastAsia="Times New Roman" w:cs="Arial"/>
                <w:bCs/>
                <w:sz w:val="24"/>
                <w:szCs w:val="24"/>
              </w:rPr>
              <w:t xml:space="preserve"> An underspend of £2</w:t>
            </w:r>
            <w:r w:rsidR="00183A22" w:rsidRPr="00AA68D6">
              <w:rPr>
                <w:rFonts w:eastAsia="Times New Roman" w:cs="Arial"/>
                <w:bCs/>
                <w:sz w:val="24"/>
                <w:szCs w:val="24"/>
              </w:rPr>
              <w:t>5</w:t>
            </w:r>
            <w:r w:rsidR="00964807" w:rsidRPr="00AA68D6">
              <w:rPr>
                <w:rFonts w:eastAsia="Times New Roman" w:cs="Arial"/>
                <w:bCs/>
                <w:sz w:val="24"/>
                <w:szCs w:val="24"/>
              </w:rPr>
              <w:t>,000 is expected (previously forecast to budget).  Underspend of £19,000 relates to insurance where savings for CCTV on vehicles were delivered earlier than anticipated and a surplus of £9,000 has been distributed by FRIC</w:t>
            </w:r>
            <w:r w:rsidR="00183A22" w:rsidRPr="00AA68D6">
              <w:rPr>
                <w:rFonts w:eastAsia="Times New Roman" w:cs="Arial"/>
                <w:bCs/>
                <w:sz w:val="24"/>
                <w:szCs w:val="24"/>
              </w:rPr>
              <w:t>, with a further £4,000 attributable to a part time vacancy</w:t>
            </w:r>
            <w:r w:rsidR="00964807" w:rsidRPr="00AA68D6">
              <w:rPr>
                <w:rFonts w:eastAsia="Times New Roman" w:cs="Arial"/>
                <w:bCs/>
                <w:sz w:val="24"/>
                <w:szCs w:val="24"/>
              </w:rPr>
              <w:t>.</w:t>
            </w:r>
          </w:p>
          <w:p w14:paraId="70BF2EF2" w14:textId="500A57E3" w:rsidR="00212BB9" w:rsidRPr="00AA68D6" w:rsidRDefault="00212BB9" w:rsidP="00A6658D">
            <w:pPr>
              <w:autoSpaceDE w:val="0"/>
              <w:autoSpaceDN w:val="0"/>
              <w:jc w:val="both"/>
              <w:rPr>
                <w:rFonts w:eastAsia="Times New Roman" w:cs="Arial"/>
                <w:bCs/>
                <w:sz w:val="24"/>
                <w:szCs w:val="24"/>
              </w:rPr>
            </w:pPr>
          </w:p>
        </w:tc>
      </w:tr>
      <w:tr w:rsidR="002F5D0A" w:rsidRPr="00301D4F" w14:paraId="3DD7527C" w14:textId="77777777" w:rsidTr="00CC02BE">
        <w:trPr>
          <w:gridAfter w:val="1"/>
          <w:wAfter w:w="249" w:type="dxa"/>
        </w:trPr>
        <w:tc>
          <w:tcPr>
            <w:tcW w:w="885" w:type="dxa"/>
            <w:gridSpan w:val="2"/>
          </w:tcPr>
          <w:p w14:paraId="78EF6A5D" w14:textId="54342A40" w:rsidR="002F5D0A" w:rsidRPr="00AA68D6" w:rsidRDefault="002F5D0A" w:rsidP="00573DBD">
            <w:pPr>
              <w:rPr>
                <w:rFonts w:eastAsia="Times New Roman" w:cs="Arial"/>
                <w:sz w:val="24"/>
                <w:szCs w:val="24"/>
              </w:rPr>
            </w:pPr>
            <w:r w:rsidRPr="00AA68D6">
              <w:rPr>
                <w:rFonts w:eastAsia="Times New Roman" w:cs="Arial"/>
                <w:sz w:val="24"/>
                <w:szCs w:val="24"/>
              </w:rPr>
              <w:t>2.</w:t>
            </w:r>
            <w:r w:rsidR="00AA68D6">
              <w:rPr>
                <w:rFonts w:eastAsia="Times New Roman" w:cs="Arial"/>
                <w:sz w:val="24"/>
                <w:szCs w:val="24"/>
              </w:rPr>
              <w:t>5</w:t>
            </w:r>
            <w:r w:rsidRPr="00AA68D6">
              <w:rPr>
                <w:rFonts w:eastAsia="Times New Roman" w:cs="Arial"/>
                <w:sz w:val="24"/>
                <w:szCs w:val="24"/>
              </w:rPr>
              <w:t>.6</w:t>
            </w:r>
          </w:p>
        </w:tc>
        <w:tc>
          <w:tcPr>
            <w:tcW w:w="8931" w:type="dxa"/>
          </w:tcPr>
          <w:p w14:paraId="280AD00D" w14:textId="50D32A4B" w:rsidR="002F5D0A" w:rsidRPr="00AA68D6" w:rsidRDefault="002F5D0A" w:rsidP="00A6658D">
            <w:pPr>
              <w:autoSpaceDE w:val="0"/>
              <w:autoSpaceDN w:val="0"/>
              <w:jc w:val="both"/>
              <w:rPr>
                <w:rFonts w:eastAsia="Times New Roman" w:cs="Arial"/>
                <w:bCs/>
                <w:sz w:val="24"/>
                <w:szCs w:val="24"/>
              </w:rPr>
            </w:pPr>
            <w:r w:rsidRPr="00AA68D6">
              <w:rPr>
                <w:rFonts w:eastAsia="Times New Roman" w:cs="Arial"/>
                <w:b/>
                <w:sz w:val="24"/>
                <w:szCs w:val="24"/>
              </w:rPr>
              <w:t>Legal Services</w:t>
            </w:r>
            <w:r w:rsidRPr="00AA68D6">
              <w:rPr>
                <w:rFonts w:eastAsia="Times New Roman" w:cs="Arial"/>
                <w:bCs/>
                <w:sz w:val="24"/>
                <w:szCs w:val="24"/>
              </w:rPr>
              <w:t>: A underspend of £1</w:t>
            </w:r>
            <w:r w:rsidR="00212BB9" w:rsidRPr="00AA68D6">
              <w:rPr>
                <w:rFonts w:eastAsia="Times New Roman" w:cs="Arial"/>
                <w:bCs/>
                <w:sz w:val="24"/>
                <w:szCs w:val="24"/>
              </w:rPr>
              <w:t>0</w:t>
            </w:r>
            <w:r w:rsidRPr="00AA68D6">
              <w:rPr>
                <w:rFonts w:eastAsia="Times New Roman" w:cs="Arial"/>
                <w:bCs/>
                <w:sz w:val="24"/>
                <w:szCs w:val="24"/>
              </w:rPr>
              <w:t xml:space="preserve">,000 is expected (previously forecast </w:t>
            </w:r>
            <w:r w:rsidR="001F34C6" w:rsidRPr="00AA68D6">
              <w:rPr>
                <w:rFonts w:eastAsia="Times New Roman" w:cs="Arial"/>
                <w:bCs/>
                <w:sz w:val="24"/>
                <w:szCs w:val="24"/>
              </w:rPr>
              <w:t>£12,000 underspend</w:t>
            </w:r>
            <w:r w:rsidRPr="00AA68D6">
              <w:rPr>
                <w:rFonts w:eastAsia="Times New Roman" w:cs="Arial"/>
                <w:bCs/>
                <w:sz w:val="24"/>
                <w:szCs w:val="24"/>
              </w:rPr>
              <w:t xml:space="preserve">).  </w:t>
            </w:r>
            <w:r w:rsidR="00212BB9" w:rsidRPr="00AA68D6">
              <w:rPr>
                <w:rFonts w:eastAsia="Times New Roman" w:cs="Arial"/>
                <w:bCs/>
                <w:sz w:val="24"/>
                <w:szCs w:val="24"/>
              </w:rPr>
              <w:t>The forecast has been amended now the Q2 invoice has been received.</w:t>
            </w:r>
          </w:p>
          <w:p w14:paraId="13D06C4C" w14:textId="3B49902B" w:rsidR="002F5D0A" w:rsidRPr="00AA68D6" w:rsidRDefault="002F5D0A" w:rsidP="00783FA5">
            <w:pPr>
              <w:autoSpaceDE w:val="0"/>
              <w:autoSpaceDN w:val="0"/>
              <w:jc w:val="both"/>
              <w:rPr>
                <w:rFonts w:eastAsia="Times New Roman" w:cs="Arial"/>
                <w:bCs/>
                <w:sz w:val="24"/>
                <w:szCs w:val="24"/>
              </w:rPr>
            </w:pPr>
          </w:p>
        </w:tc>
      </w:tr>
      <w:tr w:rsidR="002F5D0A" w:rsidRPr="00301D4F" w14:paraId="3597DE6F" w14:textId="77777777" w:rsidTr="00CC02BE">
        <w:trPr>
          <w:gridAfter w:val="1"/>
          <w:wAfter w:w="249" w:type="dxa"/>
        </w:trPr>
        <w:tc>
          <w:tcPr>
            <w:tcW w:w="885" w:type="dxa"/>
            <w:gridSpan w:val="2"/>
          </w:tcPr>
          <w:p w14:paraId="5731B6DB" w14:textId="3BCF1838" w:rsidR="002F5D0A" w:rsidRPr="00AA68D6" w:rsidRDefault="002F5D0A" w:rsidP="00573DBD">
            <w:pPr>
              <w:rPr>
                <w:rFonts w:eastAsia="Times New Roman" w:cs="Arial"/>
                <w:sz w:val="24"/>
                <w:szCs w:val="24"/>
              </w:rPr>
            </w:pPr>
            <w:bookmarkStart w:id="1" w:name="_Hlk115816363"/>
            <w:r w:rsidRPr="00AA68D6">
              <w:rPr>
                <w:rFonts w:eastAsia="Times New Roman" w:cs="Arial"/>
                <w:sz w:val="24"/>
                <w:szCs w:val="24"/>
              </w:rPr>
              <w:t>2.</w:t>
            </w:r>
            <w:r w:rsidR="00AA68D6">
              <w:rPr>
                <w:rFonts w:eastAsia="Times New Roman" w:cs="Arial"/>
                <w:sz w:val="24"/>
                <w:szCs w:val="24"/>
              </w:rPr>
              <w:t>6</w:t>
            </w:r>
          </w:p>
        </w:tc>
        <w:tc>
          <w:tcPr>
            <w:tcW w:w="8931" w:type="dxa"/>
          </w:tcPr>
          <w:p w14:paraId="43D96723" w14:textId="5FA7448A" w:rsidR="002F5D0A" w:rsidRPr="00AA68D6" w:rsidRDefault="002F5D0A" w:rsidP="008B4485">
            <w:pPr>
              <w:jc w:val="both"/>
              <w:rPr>
                <w:rFonts w:eastAsia="Times New Roman" w:cs="Arial"/>
                <w:sz w:val="24"/>
                <w:szCs w:val="24"/>
              </w:rPr>
            </w:pPr>
            <w:r w:rsidRPr="00AA68D6">
              <w:rPr>
                <w:rFonts w:eastAsia="Times New Roman" w:cs="Arial"/>
                <w:b/>
                <w:sz w:val="24"/>
                <w:szCs w:val="24"/>
              </w:rPr>
              <w:t>Planning and Improvement</w:t>
            </w:r>
            <w:r w:rsidRPr="00AA68D6">
              <w:rPr>
                <w:rFonts w:eastAsia="Times New Roman" w:cs="Arial"/>
                <w:sz w:val="24"/>
                <w:szCs w:val="24"/>
              </w:rPr>
              <w:t>: A forecast underspend of £1</w:t>
            </w:r>
            <w:r w:rsidR="00790310" w:rsidRPr="00AA68D6">
              <w:rPr>
                <w:rFonts w:eastAsia="Times New Roman" w:cs="Arial"/>
                <w:sz w:val="24"/>
                <w:szCs w:val="24"/>
              </w:rPr>
              <w:t>3</w:t>
            </w:r>
            <w:r w:rsidRPr="00AA68D6">
              <w:rPr>
                <w:rFonts w:eastAsia="Times New Roman" w:cs="Arial"/>
                <w:sz w:val="24"/>
                <w:szCs w:val="24"/>
              </w:rPr>
              <w:t>2,000 is expected as follows:</w:t>
            </w:r>
          </w:p>
          <w:p w14:paraId="2940CA26" w14:textId="002537E0" w:rsidR="002F5D0A" w:rsidRPr="00AA68D6" w:rsidRDefault="002F5D0A" w:rsidP="00A576ED">
            <w:pPr>
              <w:autoSpaceDE w:val="0"/>
              <w:autoSpaceDN w:val="0"/>
              <w:jc w:val="both"/>
              <w:rPr>
                <w:rFonts w:eastAsia="Times New Roman" w:cs="Arial"/>
                <w:bCs/>
                <w:sz w:val="24"/>
                <w:szCs w:val="24"/>
              </w:rPr>
            </w:pPr>
          </w:p>
        </w:tc>
      </w:tr>
      <w:tr w:rsidR="002F5D0A" w:rsidRPr="00301D4F" w14:paraId="4ED3C1EF" w14:textId="77777777" w:rsidTr="00CC02BE">
        <w:trPr>
          <w:gridAfter w:val="1"/>
          <w:wAfter w:w="249" w:type="dxa"/>
        </w:trPr>
        <w:tc>
          <w:tcPr>
            <w:tcW w:w="885" w:type="dxa"/>
            <w:gridSpan w:val="2"/>
          </w:tcPr>
          <w:p w14:paraId="0B47A011" w14:textId="5B00BE5E" w:rsidR="002F5D0A" w:rsidRPr="00AA68D6" w:rsidRDefault="002F5D0A" w:rsidP="00573DBD">
            <w:pPr>
              <w:rPr>
                <w:rFonts w:eastAsia="Times New Roman" w:cs="Arial"/>
                <w:sz w:val="24"/>
                <w:szCs w:val="24"/>
              </w:rPr>
            </w:pPr>
            <w:r w:rsidRPr="00AA68D6">
              <w:rPr>
                <w:rFonts w:eastAsia="Times New Roman" w:cs="Arial"/>
                <w:sz w:val="24"/>
                <w:szCs w:val="24"/>
              </w:rPr>
              <w:t>2.</w:t>
            </w:r>
            <w:r w:rsidR="00AA68D6">
              <w:rPr>
                <w:rFonts w:eastAsia="Times New Roman" w:cs="Arial"/>
                <w:sz w:val="24"/>
                <w:szCs w:val="24"/>
              </w:rPr>
              <w:t>6</w:t>
            </w:r>
            <w:r w:rsidRPr="00AA68D6">
              <w:rPr>
                <w:rFonts w:eastAsia="Times New Roman" w:cs="Arial"/>
                <w:sz w:val="24"/>
                <w:szCs w:val="24"/>
              </w:rPr>
              <w:t>.1</w:t>
            </w:r>
          </w:p>
        </w:tc>
        <w:tc>
          <w:tcPr>
            <w:tcW w:w="8931" w:type="dxa"/>
          </w:tcPr>
          <w:p w14:paraId="6075CA6B" w14:textId="55A1B0A9" w:rsidR="002F5D0A" w:rsidRPr="00AA68D6" w:rsidRDefault="002F5D0A" w:rsidP="001A07C1">
            <w:pPr>
              <w:jc w:val="both"/>
              <w:rPr>
                <w:rFonts w:eastAsia="Times New Roman" w:cs="Arial"/>
                <w:bCs/>
                <w:sz w:val="24"/>
                <w:szCs w:val="24"/>
              </w:rPr>
            </w:pPr>
            <w:r w:rsidRPr="00AA68D6">
              <w:rPr>
                <w:rFonts w:eastAsia="Times New Roman" w:cs="Arial"/>
                <w:b/>
                <w:sz w:val="24"/>
                <w:szCs w:val="24"/>
              </w:rPr>
              <w:t>Communications</w:t>
            </w:r>
            <w:r w:rsidRPr="00AA68D6">
              <w:rPr>
                <w:rFonts w:eastAsia="Times New Roman" w:cs="Arial"/>
                <w:bCs/>
                <w:sz w:val="24"/>
                <w:szCs w:val="24"/>
              </w:rPr>
              <w:t>: An underspend of £</w:t>
            </w:r>
            <w:r w:rsidR="00790310" w:rsidRPr="00AA68D6">
              <w:rPr>
                <w:rFonts w:eastAsia="Times New Roman" w:cs="Arial"/>
                <w:bCs/>
                <w:sz w:val="24"/>
                <w:szCs w:val="24"/>
              </w:rPr>
              <w:t>64</w:t>
            </w:r>
            <w:r w:rsidRPr="00AA68D6">
              <w:rPr>
                <w:rFonts w:eastAsia="Times New Roman" w:cs="Arial"/>
                <w:bCs/>
                <w:sz w:val="24"/>
                <w:szCs w:val="24"/>
              </w:rPr>
              <w:t>,000 is expected (previously forecast £63,000 underspend).  Underspend of £</w:t>
            </w:r>
            <w:r w:rsidR="00790310" w:rsidRPr="00AA68D6">
              <w:rPr>
                <w:rFonts w:eastAsia="Times New Roman" w:cs="Arial"/>
                <w:bCs/>
                <w:sz w:val="24"/>
                <w:szCs w:val="24"/>
              </w:rPr>
              <w:t>54</w:t>
            </w:r>
            <w:r w:rsidRPr="00AA68D6">
              <w:rPr>
                <w:rFonts w:eastAsia="Times New Roman" w:cs="Arial"/>
                <w:bCs/>
                <w:sz w:val="24"/>
                <w:szCs w:val="24"/>
              </w:rPr>
              <w:t xml:space="preserve">,000 relates to vacancies within the team, </w:t>
            </w:r>
            <w:r w:rsidR="00B81BCF" w:rsidRPr="00AA68D6">
              <w:rPr>
                <w:rFonts w:eastAsia="Times New Roman" w:cs="Arial"/>
                <w:bCs/>
                <w:sz w:val="24"/>
                <w:szCs w:val="24"/>
              </w:rPr>
              <w:t>with a further £12,000 underspend on advert &amp; publicity.  There are small variances over a number o</w:t>
            </w:r>
            <w:r w:rsidRPr="00AA68D6">
              <w:rPr>
                <w:rFonts w:eastAsia="Times New Roman" w:cs="Arial"/>
                <w:bCs/>
                <w:sz w:val="24"/>
                <w:szCs w:val="24"/>
              </w:rPr>
              <w:t>f categories.</w:t>
            </w:r>
          </w:p>
          <w:p w14:paraId="21E34CCE" w14:textId="77777777" w:rsidR="002F5D0A" w:rsidRPr="00AA68D6" w:rsidRDefault="002F5D0A" w:rsidP="001A07C1">
            <w:pPr>
              <w:jc w:val="both"/>
              <w:rPr>
                <w:rFonts w:eastAsia="Times New Roman" w:cs="Arial"/>
                <w:bCs/>
                <w:sz w:val="24"/>
                <w:szCs w:val="24"/>
              </w:rPr>
            </w:pPr>
          </w:p>
          <w:p w14:paraId="4B82F468" w14:textId="0CB6D60B" w:rsidR="00B81BCF" w:rsidRPr="00AA68D6" w:rsidRDefault="00790310" w:rsidP="000E446A">
            <w:pPr>
              <w:jc w:val="both"/>
              <w:rPr>
                <w:rFonts w:eastAsia="Times New Roman" w:cs="Arial"/>
                <w:bCs/>
                <w:sz w:val="24"/>
                <w:szCs w:val="24"/>
              </w:rPr>
            </w:pPr>
            <w:r w:rsidRPr="00AA68D6">
              <w:rPr>
                <w:rFonts w:eastAsia="Times New Roman" w:cs="Arial"/>
                <w:bCs/>
                <w:sz w:val="24"/>
                <w:szCs w:val="24"/>
              </w:rPr>
              <w:t>Since the P6 forecast ad</w:t>
            </w:r>
            <w:r w:rsidR="00B81BCF" w:rsidRPr="00AA68D6">
              <w:rPr>
                <w:rFonts w:eastAsia="Times New Roman" w:cs="Arial"/>
                <w:bCs/>
                <w:sz w:val="24"/>
                <w:szCs w:val="24"/>
              </w:rPr>
              <w:t>ditional staffing costs to support Future Foundations (£12,000) are offset by a reduction in advert &amp; publicity (£12,000).</w:t>
            </w:r>
          </w:p>
          <w:p w14:paraId="55D45BD4" w14:textId="2CA3B495" w:rsidR="002F5D0A" w:rsidRPr="00AA68D6" w:rsidRDefault="002F5D0A" w:rsidP="00B81BCF">
            <w:pPr>
              <w:jc w:val="both"/>
              <w:rPr>
                <w:rFonts w:eastAsia="Times New Roman" w:cs="Arial"/>
                <w:bCs/>
                <w:sz w:val="24"/>
                <w:szCs w:val="24"/>
              </w:rPr>
            </w:pPr>
          </w:p>
        </w:tc>
      </w:tr>
      <w:bookmarkEnd w:id="1"/>
      <w:tr w:rsidR="002F5D0A" w:rsidRPr="00301D4F" w14:paraId="4742EF1E" w14:textId="77777777" w:rsidTr="00163C52">
        <w:trPr>
          <w:gridAfter w:val="1"/>
          <w:wAfter w:w="249" w:type="dxa"/>
        </w:trPr>
        <w:tc>
          <w:tcPr>
            <w:tcW w:w="885" w:type="dxa"/>
            <w:gridSpan w:val="2"/>
          </w:tcPr>
          <w:p w14:paraId="3CFB4CED" w14:textId="354AFCD7" w:rsidR="002F5D0A" w:rsidRPr="00AA68D6" w:rsidRDefault="002F5D0A" w:rsidP="00573DBD">
            <w:pPr>
              <w:rPr>
                <w:rFonts w:eastAsia="Times New Roman" w:cs="Arial"/>
                <w:sz w:val="24"/>
                <w:szCs w:val="24"/>
              </w:rPr>
            </w:pPr>
            <w:r w:rsidRPr="00AA68D6">
              <w:rPr>
                <w:rFonts w:eastAsia="Times New Roman" w:cs="Arial"/>
                <w:sz w:val="24"/>
                <w:szCs w:val="24"/>
              </w:rPr>
              <w:t>2.</w:t>
            </w:r>
            <w:r w:rsidR="00AA68D6">
              <w:rPr>
                <w:rFonts w:eastAsia="Times New Roman" w:cs="Arial"/>
                <w:sz w:val="24"/>
                <w:szCs w:val="24"/>
              </w:rPr>
              <w:t>6</w:t>
            </w:r>
            <w:r w:rsidRPr="00AA68D6">
              <w:rPr>
                <w:rFonts w:eastAsia="Times New Roman" w:cs="Arial"/>
                <w:sz w:val="24"/>
                <w:szCs w:val="24"/>
              </w:rPr>
              <w:t>.2</w:t>
            </w:r>
          </w:p>
        </w:tc>
        <w:tc>
          <w:tcPr>
            <w:tcW w:w="8931" w:type="dxa"/>
          </w:tcPr>
          <w:p w14:paraId="4A27AEB3" w14:textId="34FFCD22" w:rsidR="002F5D0A" w:rsidRPr="00AA68D6" w:rsidRDefault="002F5D0A" w:rsidP="00A6658D">
            <w:pPr>
              <w:jc w:val="both"/>
              <w:rPr>
                <w:rFonts w:eastAsia="Times New Roman" w:cs="Arial"/>
                <w:bCs/>
                <w:sz w:val="24"/>
                <w:szCs w:val="24"/>
              </w:rPr>
            </w:pPr>
            <w:r w:rsidRPr="00AA68D6">
              <w:rPr>
                <w:rFonts w:eastAsia="Times New Roman" w:cs="Arial"/>
                <w:b/>
                <w:sz w:val="24"/>
                <w:szCs w:val="24"/>
              </w:rPr>
              <w:t xml:space="preserve">Performance: </w:t>
            </w:r>
            <w:r w:rsidRPr="00AA68D6">
              <w:rPr>
                <w:rFonts w:eastAsia="Times New Roman" w:cs="Arial"/>
                <w:bCs/>
                <w:sz w:val="24"/>
                <w:szCs w:val="24"/>
              </w:rPr>
              <w:t>An underspend of £4</w:t>
            </w:r>
            <w:r w:rsidR="00790310" w:rsidRPr="00AA68D6">
              <w:rPr>
                <w:rFonts w:eastAsia="Times New Roman" w:cs="Arial"/>
                <w:bCs/>
                <w:sz w:val="24"/>
                <w:szCs w:val="24"/>
              </w:rPr>
              <w:t>8</w:t>
            </w:r>
            <w:r w:rsidRPr="00AA68D6">
              <w:rPr>
                <w:rFonts w:eastAsia="Times New Roman" w:cs="Arial"/>
                <w:bCs/>
                <w:sz w:val="24"/>
                <w:szCs w:val="24"/>
              </w:rPr>
              <w:t>,000 is expected (previously forecast £92,000 underspend).  The underspend can be attributed to a vacancy within the team.</w:t>
            </w:r>
          </w:p>
          <w:p w14:paraId="6F65EE07" w14:textId="77777777" w:rsidR="002F5D0A" w:rsidRPr="00AA68D6" w:rsidRDefault="002F5D0A" w:rsidP="00A6658D">
            <w:pPr>
              <w:jc w:val="both"/>
              <w:rPr>
                <w:rFonts w:eastAsia="Times New Roman" w:cs="Arial"/>
                <w:bCs/>
                <w:sz w:val="24"/>
                <w:szCs w:val="24"/>
              </w:rPr>
            </w:pPr>
          </w:p>
          <w:p w14:paraId="34697D0D" w14:textId="3F110DB2" w:rsidR="002F5D0A" w:rsidRPr="00AA68D6" w:rsidRDefault="002F5D0A" w:rsidP="00A6658D">
            <w:pPr>
              <w:jc w:val="both"/>
              <w:rPr>
                <w:rFonts w:eastAsia="Times New Roman" w:cs="Arial"/>
                <w:bCs/>
                <w:sz w:val="24"/>
                <w:szCs w:val="24"/>
              </w:rPr>
            </w:pPr>
            <w:r w:rsidRPr="00AA68D6">
              <w:rPr>
                <w:rFonts w:eastAsia="Times New Roman" w:cs="Arial"/>
                <w:bCs/>
                <w:sz w:val="24"/>
                <w:szCs w:val="24"/>
              </w:rPr>
              <w:t>The movement since P6 can be attributed to a</w:t>
            </w:r>
            <w:r w:rsidR="00F96BFD">
              <w:rPr>
                <w:rFonts w:eastAsia="Times New Roman" w:cs="Arial"/>
                <w:bCs/>
                <w:sz w:val="24"/>
                <w:szCs w:val="24"/>
              </w:rPr>
              <w:t>n</w:t>
            </w:r>
            <w:r w:rsidRPr="00AA68D6">
              <w:rPr>
                <w:rFonts w:eastAsia="Times New Roman" w:cs="Arial"/>
                <w:bCs/>
                <w:sz w:val="24"/>
                <w:szCs w:val="24"/>
              </w:rPr>
              <w:t xml:space="preserve"> </w:t>
            </w:r>
            <w:r w:rsidR="00F96BFD">
              <w:rPr>
                <w:rFonts w:eastAsia="Times New Roman" w:cs="Arial"/>
                <w:bCs/>
                <w:sz w:val="24"/>
                <w:szCs w:val="24"/>
              </w:rPr>
              <w:t xml:space="preserve">unused </w:t>
            </w:r>
            <w:r w:rsidRPr="00AA68D6">
              <w:rPr>
                <w:rFonts w:eastAsia="Times New Roman" w:cs="Arial"/>
                <w:bCs/>
                <w:sz w:val="24"/>
                <w:szCs w:val="24"/>
              </w:rPr>
              <w:t>budget of £44,000 for an officer to support HMICFRS inspection being moved to contingency</w:t>
            </w:r>
            <w:r w:rsidR="00F96BFD">
              <w:rPr>
                <w:rFonts w:eastAsia="Times New Roman" w:cs="Arial"/>
                <w:bCs/>
                <w:sz w:val="24"/>
                <w:szCs w:val="24"/>
              </w:rPr>
              <w:t xml:space="preserve"> as agreed by Senior Leadership Team (SLT)</w:t>
            </w:r>
            <w:r w:rsidRPr="00AA68D6">
              <w:rPr>
                <w:rFonts w:eastAsia="Times New Roman" w:cs="Arial"/>
                <w:bCs/>
                <w:sz w:val="24"/>
                <w:szCs w:val="24"/>
              </w:rPr>
              <w:t>.</w:t>
            </w:r>
          </w:p>
          <w:p w14:paraId="0FC3027B" w14:textId="4D7D5DC4" w:rsidR="002F5D0A" w:rsidRPr="00AA68D6" w:rsidRDefault="002F5D0A" w:rsidP="00A6658D">
            <w:pPr>
              <w:jc w:val="both"/>
              <w:rPr>
                <w:rFonts w:eastAsia="Times New Roman" w:cs="Arial"/>
                <w:bCs/>
                <w:sz w:val="24"/>
                <w:szCs w:val="24"/>
              </w:rPr>
            </w:pPr>
          </w:p>
        </w:tc>
      </w:tr>
      <w:tr w:rsidR="002F5D0A" w:rsidRPr="00301D4F" w14:paraId="7737A695" w14:textId="77777777" w:rsidTr="00163C52">
        <w:trPr>
          <w:gridAfter w:val="1"/>
          <w:wAfter w:w="249" w:type="dxa"/>
        </w:trPr>
        <w:tc>
          <w:tcPr>
            <w:tcW w:w="885" w:type="dxa"/>
            <w:gridSpan w:val="2"/>
          </w:tcPr>
          <w:p w14:paraId="0B1479CB" w14:textId="3B25F66A" w:rsidR="002F5D0A" w:rsidRPr="00AA68D6" w:rsidRDefault="002F5D0A" w:rsidP="00573DBD">
            <w:pPr>
              <w:rPr>
                <w:rFonts w:eastAsia="Times New Roman" w:cs="Arial"/>
                <w:sz w:val="24"/>
                <w:szCs w:val="24"/>
              </w:rPr>
            </w:pPr>
            <w:r w:rsidRPr="00AA68D6">
              <w:rPr>
                <w:rFonts w:eastAsia="Times New Roman" w:cs="Arial"/>
                <w:sz w:val="24"/>
                <w:szCs w:val="24"/>
              </w:rPr>
              <w:t>2.</w:t>
            </w:r>
            <w:r w:rsidR="00AA68D6">
              <w:rPr>
                <w:rFonts w:eastAsia="Times New Roman" w:cs="Arial"/>
                <w:sz w:val="24"/>
                <w:szCs w:val="24"/>
              </w:rPr>
              <w:t>6</w:t>
            </w:r>
            <w:r w:rsidRPr="00AA68D6">
              <w:rPr>
                <w:rFonts w:eastAsia="Times New Roman" w:cs="Arial"/>
                <w:sz w:val="24"/>
                <w:szCs w:val="24"/>
              </w:rPr>
              <w:t>.</w:t>
            </w:r>
            <w:r w:rsidR="00AA68D6">
              <w:rPr>
                <w:rFonts w:eastAsia="Times New Roman" w:cs="Arial"/>
                <w:sz w:val="24"/>
                <w:szCs w:val="24"/>
              </w:rPr>
              <w:t>3</w:t>
            </w:r>
          </w:p>
        </w:tc>
        <w:tc>
          <w:tcPr>
            <w:tcW w:w="8931" w:type="dxa"/>
          </w:tcPr>
          <w:p w14:paraId="756D9BCF" w14:textId="421983CD" w:rsidR="002F5D0A" w:rsidRPr="00AA68D6" w:rsidRDefault="002F5D0A" w:rsidP="00A6658D">
            <w:pPr>
              <w:jc w:val="both"/>
              <w:rPr>
                <w:rFonts w:eastAsia="Times New Roman" w:cs="Arial"/>
                <w:bCs/>
                <w:sz w:val="24"/>
                <w:szCs w:val="24"/>
              </w:rPr>
            </w:pPr>
            <w:r w:rsidRPr="00AA68D6">
              <w:rPr>
                <w:rFonts w:eastAsia="Times New Roman" w:cs="Arial"/>
                <w:b/>
                <w:sz w:val="24"/>
                <w:szCs w:val="24"/>
              </w:rPr>
              <w:t>Cost of Democracy</w:t>
            </w:r>
            <w:r w:rsidRPr="00AA68D6">
              <w:rPr>
                <w:rFonts w:eastAsia="Times New Roman" w:cs="Arial"/>
                <w:bCs/>
                <w:sz w:val="24"/>
                <w:szCs w:val="24"/>
              </w:rPr>
              <w:t>: An underspend of £</w:t>
            </w:r>
            <w:r w:rsidR="00790310" w:rsidRPr="00AA68D6">
              <w:rPr>
                <w:rFonts w:eastAsia="Times New Roman" w:cs="Arial"/>
                <w:bCs/>
                <w:sz w:val="24"/>
                <w:szCs w:val="24"/>
              </w:rPr>
              <w:t>20</w:t>
            </w:r>
            <w:r w:rsidRPr="00AA68D6">
              <w:rPr>
                <w:rFonts w:eastAsia="Times New Roman" w:cs="Arial"/>
                <w:bCs/>
                <w:sz w:val="24"/>
                <w:szCs w:val="24"/>
              </w:rPr>
              <w:t>,000 is expected (previously forecast £13,000 underspend).  Underspend</w:t>
            </w:r>
            <w:r w:rsidR="00477802">
              <w:rPr>
                <w:rFonts w:eastAsia="Times New Roman" w:cs="Arial"/>
                <w:bCs/>
                <w:sz w:val="24"/>
                <w:szCs w:val="24"/>
              </w:rPr>
              <w:t>s</w:t>
            </w:r>
            <w:r w:rsidRPr="00AA68D6">
              <w:rPr>
                <w:rFonts w:eastAsia="Times New Roman" w:cs="Arial"/>
                <w:bCs/>
                <w:sz w:val="24"/>
                <w:szCs w:val="24"/>
              </w:rPr>
              <w:t xml:space="preserve"> on webcasting (£15,000), members </w:t>
            </w:r>
            <w:r w:rsidRPr="00AA68D6">
              <w:rPr>
                <w:rFonts w:eastAsia="Times New Roman" w:cs="Arial"/>
                <w:bCs/>
                <w:sz w:val="24"/>
                <w:szCs w:val="24"/>
              </w:rPr>
              <w:lastRenderedPageBreak/>
              <w:t>allowances (£11,000) and travelling (£2,000) are offset by an overspend of £</w:t>
            </w:r>
            <w:r w:rsidR="00790310" w:rsidRPr="00AA68D6">
              <w:rPr>
                <w:rFonts w:eastAsia="Times New Roman" w:cs="Arial"/>
                <w:bCs/>
                <w:sz w:val="24"/>
                <w:szCs w:val="24"/>
              </w:rPr>
              <w:t>8</w:t>
            </w:r>
            <w:r w:rsidRPr="00AA68D6">
              <w:rPr>
                <w:rFonts w:eastAsia="Times New Roman" w:cs="Arial"/>
                <w:bCs/>
                <w:sz w:val="24"/>
                <w:szCs w:val="24"/>
              </w:rPr>
              <w:t>,000 on staffing relating to a backdated pay award and maternity cover.</w:t>
            </w:r>
          </w:p>
          <w:p w14:paraId="08FF45DE" w14:textId="77777777" w:rsidR="002F5D0A" w:rsidRPr="00AA68D6" w:rsidRDefault="002F5D0A" w:rsidP="00A6658D">
            <w:pPr>
              <w:jc w:val="both"/>
              <w:rPr>
                <w:rFonts w:eastAsia="Times New Roman" w:cs="Arial"/>
                <w:bCs/>
                <w:sz w:val="24"/>
                <w:szCs w:val="24"/>
              </w:rPr>
            </w:pPr>
          </w:p>
          <w:p w14:paraId="44281E41" w14:textId="77777777" w:rsidR="002F5D0A" w:rsidRPr="00AA68D6" w:rsidRDefault="002F5D0A" w:rsidP="00A6658D">
            <w:pPr>
              <w:jc w:val="both"/>
              <w:rPr>
                <w:rFonts w:eastAsia="Times New Roman" w:cs="Arial"/>
                <w:bCs/>
                <w:sz w:val="24"/>
                <w:szCs w:val="24"/>
              </w:rPr>
            </w:pPr>
            <w:r w:rsidRPr="00AA68D6">
              <w:rPr>
                <w:rFonts w:eastAsia="Times New Roman" w:cs="Arial"/>
                <w:bCs/>
                <w:sz w:val="24"/>
                <w:szCs w:val="24"/>
              </w:rPr>
              <w:t>The movement since P6 can be attributed to a member vacancy and updates to pay forecasting.</w:t>
            </w:r>
          </w:p>
          <w:p w14:paraId="2B9110A0" w14:textId="42A0CBE4" w:rsidR="002F5D0A" w:rsidRPr="00AA68D6" w:rsidRDefault="002F5D0A" w:rsidP="005E598B">
            <w:pPr>
              <w:jc w:val="both"/>
              <w:rPr>
                <w:rFonts w:eastAsia="Times New Roman" w:cs="Arial"/>
                <w:bCs/>
                <w:sz w:val="24"/>
                <w:szCs w:val="24"/>
              </w:rPr>
            </w:pPr>
          </w:p>
        </w:tc>
      </w:tr>
      <w:tr w:rsidR="002F5D0A" w:rsidRPr="00301D4F" w14:paraId="57C892D0" w14:textId="77777777" w:rsidTr="00587343">
        <w:trPr>
          <w:gridAfter w:val="1"/>
          <w:wAfter w:w="249" w:type="dxa"/>
        </w:trPr>
        <w:tc>
          <w:tcPr>
            <w:tcW w:w="885" w:type="dxa"/>
            <w:gridSpan w:val="2"/>
          </w:tcPr>
          <w:p w14:paraId="68850D16" w14:textId="3A5D1450" w:rsidR="002F5D0A" w:rsidRPr="00AA68D6" w:rsidRDefault="002F5D0A" w:rsidP="00573DBD">
            <w:pPr>
              <w:rPr>
                <w:rFonts w:eastAsia="Times New Roman" w:cs="Arial"/>
                <w:sz w:val="24"/>
                <w:szCs w:val="24"/>
              </w:rPr>
            </w:pPr>
            <w:r w:rsidRPr="00AA68D6">
              <w:rPr>
                <w:rFonts w:eastAsia="Times New Roman" w:cs="Arial"/>
                <w:sz w:val="24"/>
                <w:szCs w:val="24"/>
              </w:rPr>
              <w:lastRenderedPageBreak/>
              <w:t>2.</w:t>
            </w:r>
            <w:r w:rsidR="00AA68D6">
              <w:rPr>
                <w:rFonts w:eastAsia="Times New Roman" w:cs="Arial"/>
                <w:sz w:val="24"/>
                <w:szCs w:val="24"/>
              </w:rPr>
              <w:t>7</w:t>
            </w:r>
          </w:p>
        </w:tc>
        <w:tc>
          <w:tcPr>
            <w:tcW w:w="8931" w:type="dxa"/>
          </w:tcPr>
          <w:p w14:paraId="1986C268" w14:textId="68D793EA" w:rsidR="002F5D0A" w:rsidRPr="00AA68D6" w:rsidRDefault="002F5D0A" w:rsidP="005B6169">
            <w:pPr>
              <w:autoSpaceDE w:val="0"/>
              <w:autoSpaceDN w:val="0"/>
              <w:jc w:val="both"/>
              <w:rPr>
                <w:rFonts w:eastAsia="Times New Roman" w:cs="Arial"/>
                <w:bCs/>
                <w:sz w:val="24"/>
                <w:szCs w:val="24"/>
              </w:rPr>
            </w:pPr>
            <w:r w:rsidRPr="00AA68D6">
              <w:rPr>
                <w:rFonts w:eastAsia="Times New Roman" w:cs="Arial"/>
                <w:b/>
                <w:sz w:val="24"/>
                <w:szCs w:val="24"/>
              </w:rPr>
              <w:t xml:space="preserve">Safer Communities: </w:t>
            </w:r>
            <w:r w:rsidRPr="00AA68D6">
              <w:rPr>
                <w:rFonts w:eastAsia="Times New Roman" w:cs="Arial"/>
                <w:bCs/>
                <w:sz w:val="24"/>
                <w:szCs w:val="24"/>
              </w:rPr>
              <w:t>An overspend of £8</w:t>
            </w:r>
            <w:r w:rsidR="00790310" w:rsidRPr="00AA68D6">
              <w:rPr>
                <w:rFonts w:eastAsia="Times New Roman" w:cs="Arial"/>
                <w:bCs/>
                <w:sz w:val="24"/>
                <w:szCs w:val="24"/>
              </w:rPr>
              <w:t>42</w:t>
            </w:r>
            <w:r w:rsidRPr="00AA68D6">
              <w:rPr>
                <w:rFonts w:eastAsia="Times New Roman" w:cs="Arial"/>
                <w:bCs/>
                <w:sz w:val="24"/>
                <w:szCs w:val="24"/>
              </w:rPr>
              <w:t>,000</w:t>
            </w:r>
            <w:r w:rsidR="00477802">
              <w:rPr>
                <w:rFonts w:eastAsia="Times New Roman" w:cs="Arial"/>
                <w:bCs/>
                <w:sz w:val="24"/>
                <w:szCs w:val="24"/>
              </w:rPr>
              <w:t xml:space="preserve"> (previously forecast £896,000 overspend)</w:t>
            </w:r>
            <w:r w:rsidRPr="00AA68D6">
              <w:rPr>
                <w:rFonts w:eastAsia="Times New Roman" w:cs="Arial"/>
                <w:bCs/>
                <w:sz w:val="24"/>
                <w:szCs w:val="24"/>
              </w:rPr>
              <w:t xml:space="preserve"> is expected with the variance detailed below.</w:t>
            </w:r>
          </w:p>
          <w:p w14:paraId="61DCDFE1" w14:textId="77777777" w:rsidR="002F5D0A" w:rsidRPr="00AA68D6" w:rsidRDefault="002F5D0A" w:rsidP="005B6169">
            <w:pPr>
              <w:autoSpaceDE w:val="0"/>
              <w:autoSpaceDN w:val="0"/>
              <w:jc w:val="both"/>
              <w:rPr>
                <w:rFonts w:eastAsia="Times New Roman" w:cs="Arial"/>
                <w:bCs/>
                <w:sz w:val="24"/>
                <w:szCs w:val="24"/>
              </w:rPr>
            </w:pPr>
          </w:p>
          <w:p w14:paraId="71859B3E" w14:textId="77777777" w:rsidR="002F5D0A" w:rsidRPr="00AA68D6" w:rsidRDefault="002F5D0A" w:rsidP="006B353E">
            <w:pPr>
              <w:autoSpaceDE w:val="0"/>
              <w:autoSpaceDN w:val="0"/>
              <w:jc w:val="both"/>
              <w:rPr>
                <w:rFonts w:eastAsia="Times New Roman" w:cs="Arial"/>
                <w:bCs/>
                <w:sz w:val="24"/>
                <w:szCs w:val="24"/>
              </w:rPr>
            </w:pPr>
            <w:r w:rsidRPr="00AA68D6">
              <w:rPr>
                <w:rFonts w:eastAsia="Times New Roman" w:cs="Arial"/>
                <w:bCs/>
                <w:sz w:val="24"/>
                <w:szCs w:val="24"/>
              </w:rPr>
              <w:t>Significant focus needs to be maintained on the Safer Communities action plan to reduce the forecast pressure for 2023/24 and to ensure that the position doesn’t impact on the 2024/25 budget.  These actions include:</w:t>
            </w:r>
          </w:p>
          <w:p w14:paraId="2DA197EE" w14:textId="35E1EF04" w:rsidR="002F5D0A" w:rsidRPr="00AA68D6" w:rsidRDefault="002F5D0A" w:rsidP="006B353E">
            <w:pPr>
              <w:pStyle w:val="ListParagraph"/>
              <w:numPr>
                <w:ilvl w:val="0"/>
                <w:numId w:val="17"/>
              </w:numPr>
              <w:autoSpaceDE w:val="0"/>
              <w:autoSpaceDN w:val="0"/>
              <w:jc w:val="both"/>
              <w:rPr>
                <w:rFonts w:eastAsia="Times New Roman" w:cs="Arial"/>
                <w:b/>
                <w:sz w:val="24"/>
                <w:szCs w:val="24"/>
              </w:rPr>
            </w:pPr>
            <w:r w:rsidRPr="00AA68D6">
              <w:rPr>
                <w:rFonts w:eastAsia="Times New Roman" w:cs="Arial"/>
                <w:bCs/>
                <w:sz w:val="24"/>
                <w:szCs w:val="24"/>
              </w:rPr>
              <w:t>Fixed term contracts being reviewed by workforce planning to ensure they are only used when absolutely necessary and considered in conjunction with overtime risks of not doing so to minimise the pressure</w:t>
            </w:r>
            <w:r w:rsidR="00477802">
              <w:rPr>
                <w:rFonts w:eastAsia="Times New Roman" w:cs="Arial"/>
                <w:bCs/>
                <w:sz w:val="24"/>
                <w:szCs w:val="24"/>
              </w:rPr>
              <w:t>.</w:t>
            </w:r>
          </w:p>
          <w:p w14:paraId="2B4E496C" w14:textId="76C85D95" w:rsidR="002F5D0A" w:rsidRPr="00AA68D6" w:rsidRDefault="002F5D0A" w:rsidP="006B353E">
            <w:pPr>
              <w:pStyle w:val="ListParagraph"/>
              <w:numPr>
                <w:ilvl w:val="0"/>
                <w:numId w:val="17"/>
              </w:numPr>
              <w:autoSpaceDE w:val="0"/>
              <w:autoSpaceDN w:val="0"/>
              <w:jc w:val="both"/>
              <w:rPr>
                <w:rFonts w:eastAsia="Times New Roman" w:cs="Arial"/>
                <w:b/>
                <w:sz w:val="24"/>
                <w:szCs w:val="24"/>
              </w:rPr>
            </w:pPr>
            <w:r w:rsidRPr="00AA68D6">
              <w:rPr>
                <w:rFonts w:eastAsia="Times New Roman" w:cs="Arial"/>
                <w:bCs/>
                <w:sz w:val="24"/>
                <w:szCs w:val="24"/>
              </w:rPr>
              <w:t>Performance measures need to be reported to ensure highly effective monitoring and approval of requests for overtime</w:t>
            </w:r>
            <w:r w:rsidR="00477802">
              <w:rPr>
                <w:rFonts w:eastAsia="Times New Roman" w:cs="Arial"/>
                <w:bCs/>
                <w:sz w:val="24"/>
                <w:szCs w:val="24"/>
              </w:rPr>
              <w:t>.</w:t>
            </w:r>
          </w:p>
          <w:p w14:paraId="75638468" w14:textId="3EAA1F77" w:rsidR="002F5D0A" w:rsidRPr="00AA68D6" w:rsidRDefault="002F5D0A" w:rsidP="006B353E">
            <w:pPr>
              <w:pStyle w:val="ListParagraph"/>
              <w:numPr>
                <w:ilvl w:val="0"/>
                <w:numId w:val="17"/>
              </w:numPr>
              <w:autoSpaceDE w:val="0"/>
              <w:autoSpaceDN w:val="0"/>
              <w:jc w:val="both"/>
              <w:rPr>
                <w:rFonts w:eastAsia="Times New Roman" w:cs="Arial"/>
                <w:b/>
                <w:sz w:val="24"/>
                <w:szCs w:val="24"/>
              </w:rPr>
            </w:pPr>
            <w:r w:rsidRPr="00AA68D6">
              <w:rPr>
                <w:rFonts w:eastAsia="Times New Roman" w:cs="Arial"/>
                <w:bCs/>
                <w:sz w:val="24"/>
                <w:szCs w:val="24"/>
              </w:rPr>
              <w:t xml:space="preserve">Overtime is closely monitored through the </w:t>
            </w:r>
            <w:proofErr w:type="gramStart"/>
            <w:r w:rsidRPr="00AA68D6">
              <w:rPr>
                <w:rFonts w:eastAsia="Times New Roman" w:cs="Arial"/>
                <w:bCs/>
                <w:sz w:val="24"/>
                <w:szCs w:val="24"/>
              </w:rPr>
              <w:t>year,</w:t>
            </w:r>
            <w:proofErr w:type="gramEnd"/>
            <w:r w:rsidRPr="00AA68D6">
              <w:rPr>
                <w:rFonts w:eastAsia="Times New Roman" w:cs="Arial"/>
                <w:bCs/>
                <w:sz w:val="24"/>
                <w:szCs w:val="24"/>
              </w:rPr>
              <w:t xml:space="preserve"> managers should be sighted on overtime dashboard reporting</w:t>
            </w:r>
            <w:r w:rsidR="00477802">
              <w:rPr>
                <w:rFonts w:eastAsia="Times New Roman" w:cs="Arial"/>
                <w:bCs/>
                <w:sz w:val="24"/>
                <w:szCs w:val="24"/>
              </w:rPr>
              <w:t>.</w:t>
            </w:r>
          </w:p>
          <w:p w14:paraId="05DB7143" w14:textId="41E96B77" w:rsidR="002F5D0A" w:rsidRPr="00AA68D6" w:rsidRDefault="002F5D0A" w:rsidP="006B353E">
            <w:pPr>
              <w:pStyle w:val="ListParagraph"/>
              <w:numPr>
                <w:ilvl w:val="0"/>
                <w:numId w:val="17"/>
              </w:numPr>
              <w:autoSpaceDE w:val="0"/>
              <w:autoSpaceDN w:val="0"/>
              <w:jc w:val="both"/>
              <w:rPr>
                <w:rFonts w:eastAsia="Times New Roman" w:cs="Arial"/>
                <w:b/>
                <w:sz w:val="24"/>
                <w:szCs w:val="24"/>
              </w:rPr>
            </w:pPr>
            <w:r w:rsidRPr="00AA68D6">
              <w:rPr>
                <w:rFonts w:eastAsia="Times New Roman" w:cs="Arial"/>
                <w:bCs/>
                <w:sz w:val="24"/>
                <w:szCs w:val="24"/>
              </w:rPr>
              <w:t>Review outstanding CRM savings to identify amount deliverable</w:t>
            </w:r>
            <w:r w:rsidR="00477802">
              <w:rPr>
                <w:rFonts w:eastAsia="Times New Roman" w:cs="Arial"/>
                <w:bCs/>
                <w:sz w:val="24"/>
                <w:szCs w:val="24"/>
              </w:rPr>
              <w:t>.</w:t>
            </w:r>
          </w:p>
          <w:p w14:paraId="4E94C4F8" w14:textId="7DC2A1A9" w:rsidR="002F5D0A" w:rsidRPr="00AA68D6" w:rsidRDefault="002F5D0A" w:rsidP="006B353E">
            <w:pPr>
              <w:pStyle w:val="ListParagraph"/>
              <w:numPr>
                <w:ilvl w:val="0"/>
                <w:numId w:val="17"/>
              </w:numPr>
              <w:autoSpaceDE w:val="0"/>
              <w:autoSpaceDN w:val="0"/>
              <w:jc w:val="both"/>
              <w:rPr>
                <w:rFonts w:eastAsia="Times New Roman" w:cs="Arial"/>
                <w:b/>
                <w:sz w:val="24"/>
                <w:szCs w:val="24"/>
              </w:rPr>
            </w:pPr>
            <w:r w:rsidRPr="00AA68D6">
              <w:rPr>
                <w:rFonts w:eastAsia="Times New Roman" w:cs="Arial"/>
                <w:bCs/>
                <w:sz w:val="24"/>
                <w:szCs w:val="24"/>
              </w:rPr>
              <w:t>The annual leave, sickness and light duties policies are reviewed</w:t>
            </w:r>
            <w:r w:rsidR="00477802">
              <w:rPr>
                <w:rFonts w:eastAsia="Times New Roman" w:cs="Arial"/>
                <w:bCs/>
                <w:sz w:val="24"/>
                <w:szCs w:val="24"/>
              </w:rPr>
              <w:t>.</w:t>
            </w:r>
          </w:p>
          <w:p w14:paraId="3C554FB0" w14:textId="4D916B7B" w:rsidR="002F5D0A" w:rsidRPr="00AA68D6" w:rsidRDefault="002F5D0A" w:rsidP="006B353E">
            <w:pPr>
              <w:pStyle w:val="ListParagraph"/>
              <w:numPr>
                <w:ilvl w:val="0"/>
                <w:numId w:val="17"/>
              </w:numPr>
              <w:autoSpaceDE w:val="0"/>
              <w:autoSpaceDN w:val="0"/>
              <w:jc w:val="both"/>
              <w:rPr>
                <w:rFonts w:eastAsia="Times New Roman" w:cs="Arial"/>
                <w:b/>
                <w:sz w:val="24"/>
                <w:szCs w:val="24"/>
              </w:rPr>
            </w:pPr>
            <w:r w:rsidRPr="00AA68D6">
              <w:rPr>
                <w:rFonts w:eastAsia="Times New Roman" w:cs="Arial"/>
                <w:bCs/>
                <w:sz w:val="24"/>
                <w:szCs w:val="24"/>
              </w:rPr>
              <w:t>Occupational health contract is reviewed to ensure the process is conducive to ensuring staff return to work at the earliest opportunity</w:t>
            </w:r>
            <w:r w:rsidR="00477802">
              <w:rPr>
                <w:rFonts w:eastAsia="Times New Roman" w:cs="Arial"/>
                <w:bCs/>
                <w:sz w:val="24"/>
                <w:szCs w:val="24"/>
              </w:rPr>
              <w:t>.</w:t>
            </w:r>
          </w:p>
          <w:p w14:paraId="2FDED480" w14:textId="77777777" w:rsidR="002F5D0A" w:rsidRPr="00AA68D6" w:rsidRDefault="002F5D0A" w:rsidP="00FF0699">
            <w:pPr>
              <w:autoSpaceDE w:val="0"/>
              <w:autoSpaceDN w:val="0"/>
              <w:jc w:val="both"/>
              <w:rPr>
                <w:rFonts w:eastAsia="Times New Roman" w:cs="Arial"/>
                <w:b/>
                <w:sz w:val="24"/>
                <w:szCs w:val="24"/>
              </w:rPr>
            </w:pPr>
          </w:p>
          <w:p w14:paraId="5353FAC7" w14:textId="128B09DF" w:rsidR="002F5D0A" w:rsidRPr="00AA68D6" w:rsidRDefault="002F5D0A" w:rsidP="00B04B3E">
            <w:pPr>
              <w:jc w:val="both"/>
              <w:rPr>
                <w:rFonts w:eastAsia="Times New Roman" w:cs="Arial"/>
                <w:bCs/>
                <w:sz w:val="24"/>
                <w:szCs w:val="24"/>
              </w:rPr>
            </w:pPr>
            <w:r w:rsidRPr="00AA68D6">
              <w:rPr>
                <w:rFonts w:eastAsia="Times New Roman" w:cs="Arial"/>
                <w:bCs/>
                <w:sz w:val="24"/>
                <w:szCs w:val="24"/>
              </w:rPr>
              <w:t xml:space="preserve">Finance </w:t>
            </w:r>
            <w:proofErr w:type="gramStart"/>
            <w:r w:rsidRPr="00AA68D6">
              <w:rPr>
                <w:rFonts w:eastAsia="Times New Roman" w:cs="Arial"/>
                <w:bCs/>
                <w:sz w:val="24"/>
                <w:szCs w:val="24"/>
              </w:rPr>
              <w:t>are</w:t>
            </w:r>
            <w:proofErr w:type="gramEnd"/>
            <w:r w:rsidRPr="00AA68D6">
              <w:rPr>
                <w:rFonts w:eastAsia="Times New Roman" w:cs="Arial"/>
                <w:bCs/>
                <w:sz w:val="24"/>
                <w:szCs w:val="24"/>
              </w:rPr>
              <w:t xml:space="preserve"> attending Group meetings on a monthly basis and are working with Station Managers to support their financial understanding and provide more detailed analysis of their station expenditure.</w:t>
            </w:r>
          </w:p>
        </w:tc>
      </w:tr>
      <w:tr w:rsidR="002F5D0A" w:rsidRPr="00301D4F" w14:paraId="0D19F5BF" w14:textId="77777777" w:rsidTr="00BF65A0">
        <w:trPr>
          <w:gridAfter w:val="1"/>
          <w:wAfter w:w="249" w:type="dxa"/>
        </w:trPr>
        <w:tc>
          <w:tcPr>
            <w:tcW w:w="885" w:type="dxa"/>
            <w:gridSpan w:val="2"/>
          </w:tcPr>
          <w:p w14:paraId="5277ACEB" w14:textId="7B065B8B" w:rsidR="002F5D0A" w:rsidRPr="00301D4F" w:rsidRDefault="002F5D0A" w:rsidP="00573DBD">
            <w:pPr>
              <w:rPr>
                <w:rFonts w:eastAsia="Times New Roman" w:cs="Arial"/>
                <w:sz w:val="24"/>
                <w:szCs w:val="24"/>
                <w:highlight w:val="yellow"/>
              </w:rPr>
            </w:pPr>
          </w:p>
        </w:tc>
        <w:tc>
          <w:tcPr>
            <w:tcW w:w="8931" w:type="dxa"/>
          </w:tcPr>
          <w:p w14:paraId="5431947A" w14:textId="3DF2D1CA" w:rsidR="002F5D0A" w:rsidRPr="00301D4F" w:rsidRDefault="002F5D0A" w:rsidP="00211C2F">
            <w:pPr>
              <w:jc w:val="both"/>
              <w:rPr>
                <w:rFonts w:eastAsia="Times New Roman" w:cs="Arial"/>
                <w:sz w:val="24"/>
                <w:szCs w:val="24"/>
                <w:highlight w:val="yellow"/>
              </w:rPr>
            </w:pPr>
          </w:p>
        </w:tc>
      </w:tr>
      <w:tr w:rsidR="002F5D0A" w:rsidRPr="00301D4F" w14:paraId="66E762F7" w14:textId="77777777" w:rsidTr="00BF65A0">
        <w:trPr>
          <w:gridAfter w:val="1"/>
          <w:wAfter w:w="249" w:type="dxa"/>
        </w:trPr>
        <w:tc>
          <w:tcPr>
            <w:tcW w:w="885" w:type="dxa"/>
            <w:gridSpan w:val="2"/>
          </w:tcPr>
          <w:p w14:paraId="1727B20D" w14:textId="2B692F0D" w:rsidR="002F5D0A" w:rsidRPr="00AA68D6" w:rsidRDefault="002F5D0A" w:rsidP="00573DBD">
            <w:pPr>
              <w:rPr>
                <w:rFonts w:eastAsia="Times New Roman" w:cs="Arial"/>
                <w:sz w:val="24"/>
                <w:szCs w:val="24"/>
              </w:rPr>
            </w:pPr>
            <w:r w:rsidRPr="00AA68D6">
              <w:rPr>
                <w:rFonts w:eastAsia="Times New Roman" w:cs="Arial"/>
                <w:sz w:val="24"/>
                <w:szCs w:val="24"/>
              </w:rPr>
              <w:t>2.</w:t>
            </w:r>
            <w:r w:rsidR="007E060C">
              <w:rPr>
                <w:rFonts w:eastAsia="Times New Roman" w:cs="Arial"/>
                <w:sz w:val="24"/>
                <w:szCs w:val="24"/>
              </w:rPr>
              <w:t>7</w:t>
            </w:r>
            <w:r w:rsidRPr="00AA68D6">
              <w:rPr>
                <w:rFonts w:eastAsia="Times New Roman" w:cs="Arial"/>
                <w:sz w:val="24"/>
                <w:szCs w:val="24"/>
              </w:rPr>
              <w:t>.1</w:t>
            </w:r>
          </w:p>
        </w:tc>
        <w:tc>
          <w:tcPr>
            <w:tcW w:w="8931" w:type="dxa"/>
          </w:tcPr>
          <w:p w14:paraId="39749F8D" w14:textId="77777777" w:rsidR="002F5D0A" w:rsidRPr="00AA68D6" w:rsidRDefault="002F5D0A" w:rsidP="0014221B">
            <w:pPr>
              <w:jc w:val="both"/>
              <w:rPr>
                <w:rFonts w:eastAsia="Times New Roman" w:cs="Arial"/>
                <w:sz w:val="24"/>
                <w:szCs w:val="24"/>
              </w:rPr>
            </w:pPr>
            <w:r w:rsidRPr="00AA68D6">
              <w:rPr>
                <w:rFonts w:eastAsia="Times New Roman" w:cs="Arial"/>
                <w:b/>
                <w:sz w:val="24"/>
                <w:szCs w:val="24"/>
              </w:rPr>
              <w:t>AD Safer Communities:</w:t>
            </w:r>
            <w:r w:rsidRPr="00AA68D6">
              <w:rPr>
                <w:rFonts w:eastAsia="Times New Roman" w:cs="Arial"/>
                <w:sz w:val="24"/>
                <w:szCs w:val="24"/>
              </w:rPr>
              <w:t xml:space="preserve"> An overspend of £104,000 is expected (as per P6 forecast).  This pressure relates to savings as detailed in section 5.</w:t>
            </w:r>
          </w:p>
          <w:p w14:paraId="68E65212" w14:textId="037FCB31" w:rsidR="002F5D0A" w:rsidRPr="00AA68D6" w:rsidRDefault="002F5D0A" w:rsidP="00A6658D">
            <w:pPr>
              <w:autoSpaceDE w:val="0"/>
              <w:autoSpaceDN w:val="0"/>
              <w:jc w:val="both"/>
              <w:rPr>
                <w:rFonts w:eastAsia="Times New Roman" w:cs="Arial"/>
                <w:bCs/>
                <w:sz w:val="24"/>
                <w:szCs w:val="24"/>
              </w:rPr>
            </w:pPr>
          </w:p>
        </w:tc>
      </w:tr>
      <w:tr w:rsidR="002F5D0A" w:rsidRPr="00301D4F" w14:paraId="2889A3D7" w14:textId="77777777" w:rsidTr="00BF65A0">
        <w:trPr>
          <w:gridAfter w:val="1"/>
          <w:wAfter w:w="249" w:type="dxa"/>
        </w:trPr>
        <w:tc>
          <w:tcPr>
            <w:tcW w:w="885" w:type="dxa"/>
            <w:gridSpan w:val="2"/>
          </w:tcPr>
          <w:p w14:paraId="37DA776B" w14:textId="703BA72C" w:rsidR="002F5D0A" w:rsidRPr="007E060C" w:rsidRDefault="002F5D0A" w:rsidP="00573DBD">
            <w:pPr>
              <w:rPr>
                <w:rFonts w:eastAsia="Times New Roman" w:cs="Arial"/>
                <w:sz w:val="24"/>
                <w:szCs w:val="24"/>
              </w:rPr>
            </w:pPr>
            <w:r w:rsidRPr="007E060C">
              <w:rPr>
                <w:rFonts w:eastAsia="Times New Roman" w:cs="Arial"/>
                <w:bCs/>
                <w:sz w:val="24"/>
                <w:szCs w:val="24"/>
              </w:rPr>
              <w:t>2.</w:t>
            </w:r>
            <w:r w:rsidR="007E060C" w:rsidRPr="007E060C">
              <w:rPr>
                <w:rFonts w:eastAsia="Times New Roman" w:cs="Arial"/>
                <w:bCs/>
                <w:sz w:val="24"/>
                <w:szCs w:val="24"/>
              </w:rPr>
              <w:t>7</w:t>
            </w:r>
            <w:r w:rsidRPr="007E060C">
              <w:rPr>
                <w:rFonts w:eastAsia="Times New Roman" w:cs="Arial"/>
                <w:bCs/>
                <w:sz w:val="24"/>
                <w:szCs w:val="24"/>
              </w:rPr>
              <w:t>.2</w:t>
            </w:r>
          </w:p>
        </w:tc>
        <w:tc>
          <w:tcPr>
            <w:tcW w:w="8931" w:type="dxa"/>
          </w:tcPr>
          <w:p w14:paraId="35A1BF15" w14:textId="7CF0AC2F" w:rsidR="002F5D0A" w:rsidRPr="007E060C" w:rsidRDefault="002F5D0A" w:rsidP="006E7704">
            <w:pPr>
              <w:jc w:val="both"/>
              <w:rPr>
                <w:rFonts w:eastAsia="Times New Roman" w:cs="Arial"/>
                <w:bCs/>
                <w:sz w:val="24"/>
                <w:szCs w:val="24"/>
              </w:rPr>
            </w:pPr>
            <w:r w:rsidRPr="007E060C">
              <w:rPr>
                <w:rFonts w:eastAsia="Times New Roman" w:cs="Arial"/>
                <w:b/>
                <w:sz w:val="24"/>
                <w:szCs w:val="24"/>
              </w:rPr>
              <w:t xml:space="preserve">Groups: </w:t>
            </w:r>
            <w:r w:rsidRPr="007E060C">
              <w:rPr>
                <w:rFonts w:eastAsia="Times New Roman" w:cs="Arial"/>
                <w:bCs/>
                <w:sz w:val="24"/>
                <w:szCs w:val="24"/>
              </w:rPr>
              <w:t>The Groups are reporting an overspend of £9</w:t>
            </w:r>
            <w:r w:rsidR="009138C6" w:rsidRPr="007E060C">
              <w:rPr>
                <w:rFonts w:eastAsia="Times New Roman" w:cs="Arial"/>
                <w:bCs/>
                <w:sz w:val="24"/>
                <w:szCs w:val="24"/>
              </w:rPr>
              <w:t>70</w:t>
            </w:r>
            <w:r w:rsidRPr="007E060C">
              <w:rPr>
                <w:rFonts w:eastAsia="Times New Roman" w:cs="Arial"/>
                <w:bCs/>
                <w:sz w:val="24"/>
                <w:szCs w:val="24"/>
              </w:rPr>
              <w:t>,000 (previous forecast overspend £</w:t>
            </w:r>
            <w:r w:rsidR="003720CB">
              <w:rPr>
                <w:rFonts w:eastAsia="Times New Roman" w:cs="Arial"/>
                <w:bCs/>
                <w:sz w:val="24"/>
                <w:szCs w:val="24"/>
              </w:rPr>
              <w:t>970,000</w:t>
            </w:r>
            <w:r w:rsidRPr="007E060C">
              <w:rPr>
                <w:rFonts w:eastAsia="Times New Roman" w:cs="Arial"/>
                <w:bCs/>
                <w:sz w:val="24"/>
                <w:szCs w:val="24"/>
              </w:rPr>
              <w:t>).</w:t>
            </w:r>
          </w:p>
          <w:p w14:paraId="192C4FD0" w14:textId="77777777" w:rsidR="002F5D0A" w:rsidRPr="007E060C" w:rsidRDefault="002F5D0A" w:rsidP="006E7704">
            <w:pPr>
              <w:jc w:val="both"/>
              <w:rPr>
                <w:rFonts w:eastAsia="Times New Roman" w:cs="Arial"/>
                <w:bCs/>
                <w:sz w:val="24"/>
                <w:szCs w:val="24"/>
              </w:rPr>
            </w:pPr>
          </w:p>
          <w:p w14:paraId="53FEA778" w14:textId="77777777" w:rsidR="002F5D0A" w:rsidRPr="007E060C" w:rsidRDefault="002F5D0A" w:rsidP="006E7704">
            <w:pPr>
              <w:jc w:val="both"/>
              <w:rPr>
                <w:rFonts w:eastAsia="Times New Roman" w:cs="Arial"/>
                <w:bCs/>
                <w:sz w:val="24"/>
                <w:szCs w:val="24"/>
              </w:rPr>
            </w:pPr>
            <w:r w:rsidRPr="007E060C">
              <w:rPr>
                <w:rFonts w:eastAsia="Times New Roman" w:cs="Arial"/>
                <w:bCs/>
                <w:sz w:val="24"/>
                <w:szCs w:val="24"/>
              </w:rPr>
              <w:t xml:space="preserve">The forecast for the Groups includes the IRMP changes, although there are a number of moves still in progress.  Finance and HR are working closely to ensure changes are reflected within the forecast.  </w:t>
            </w:r>
          </w:p>
          <w:p w14:paraId="6B6B7651" w14:textId="77777777" w:rsidR="002F5D0A" w:rsidRPr="007E060C" w:rsidRDefault="002F5D0A" w:rsidP="006E7704">
            <w:pPr>
              <w:jc w:val="both"/>
              <w:rPr>
                <w:rFonts w:eastAsia="Times New Roman" w:cs="Arial"/>
                <w:bCs/>
                <w:sz w:val="24"/>
                <w:szCs w:val="24"/>
              </w:rPr>
            </w:pPr>
          </w:p>
          <w:p w14:paraId="14A6E575" w14:textId="72FBA6B6" w:rsidR="002F5D0A" w:rsidRPr="007E060C" w:rsidRDefault="002F5D0A" w:rsidP="006E7704">
            <w:pPr>
              <w:jc w:val="both"/>
              <w:rPr>
                <w:rFonts w:eastAsia="Times New Roman" w:cs="Arial"/>
                <w:bCs/>
                <w:sz w:val="24"/>
                <w:szCs w:val="24"/>
              </w:rPr>
            </w:pPr>
            <w:r w:rsidRPr="007E060C">
              <w:rPr>
                <w:rFonts w:eastAsia="Times New Roman" w:cs="Arial"/>
                <w:bCs/>
                <w:sz w:val="24"/>
                <w:szCs w:val="24"/>
              </w:rPr>
              <w:t>Whilst re-profiled last financial year, the on-call budget does not appear to reflect current activity and spend patterns across the stations and</w:t>
            </w:r>
            <w:r w:rsidR="003720CB">
              <w:rPr>
                <w:rFonts w:eastAsia="Times New Roman" w:cs="Arial"/>
                <w:bCs/>
                <w:sz w:val="24"/>
                <w:szCs w:val="24"/>
              </w:rPr>
              <w:t xml:space="preserve"> work will be completed to re-allocate these budgets in January 2024</w:t>
            </w:r>
            <w:r w:rsidRPr="007E060C">
              <w:rPr>
                <w:rFonts w:eastAsia="Times New Roman" w:cs="Arial"/>
                <w:bCs/>
                <w:sz w:val="24"/>
                <w:szCs w:val="24"/>
              </w:rPr>
              <w:t>.</w:t>
            </w:r>
          </w:p>
          <w:p w14:paraId="61BD7FDC" w14:textId="77777777" w:rsidR="002F5D0A" w:rsidRDefault="002F5D0A" w:rsidP="006E7704">
            <w:pPr>
              <w:jc w:val="both"/>
              <w:rPr>
                <w:rFonts w:eastAsia="Times New Roman" w:cs="Arial"/>
                <w:bCs/>
                <w:sz w:val="24"/>
                <w:szCs w:val="24"/>
              </w:rPr>
            </w:pPr>
          </w:p>
          <w:p w14:paraId="3D3E800D" w14:textId="1DAE9BBF" w:rsidR="0085187C" w:rsidRPr="007E060C" w:rsidRDefault="0085187C" w:rsidP="0085187C">
            <w:pPr>
              <w:jc w:val="both"/>
              <w:rPr>
                <w:rFonts w:eastAsia="Times New Roman" w:cs="Arial"/>
                <w:bCs/>
                <w:sz w:val="24"/>
                <w:szCs w:val="24"/>
              </w:rPr>
            </w:pPr>
            <w:r w:rsidRPr="007E060C">
              <w:rPr>
                <w:rFonts w:eastAsia="Times New Roman" w:cs="Arial"/>
                <w:bCs/>
                <w:sz w:val="24"/>
                <w:szCs w:val="24"/>
              </w:rPr>
              <w:t xml:space="preserve">In November </w:t>
            </w:r>
            <w:r w:rsidRPr="00D518DC">
              <w:rPr>
                <w:rFonts w:eastAsia="Times New Roman" w:cs="Arial"/>
                <w:bCs/>
                <w:sz w:val="24"/>
                <w:szCs w:val="24"/>
              </w:rPr>
              <w:t>2023 there were a total of 13 individuals on light duties, 21 individuals on long term absences and a total of 12 FTCs.  It is anticipated the number of FTCs will reduce</w:t>
            </w:r>
            <w:r w:rsidR="007A6830" w:rsidRPr="00D518DC">
              <w:rPr>
                <w:rFonts w:eastAsia="Times New Roman" w:cs="Arial"/>
                <w:bCs/>
                <w:sz w:val="24"/>
                <w:szCs w:val="24"/>
              </w:rPr>
              <w:t xml:space="preserve">, </w:t>
            </w:r>
            <w:r w:rsidR="00D518DC">
              <w:rPr>
                <w:rFonts w:eastAsia="Times New Roman" w:cs="Arial"/>
                <w:bCs/>
                <w:sz w:val="24"/>
                <w:szCs w:val="24"/>
              </w:rPr>
              <w:t xml:space="preserve">with FTCs falling to 10 in December, </w:t>
            </w:r>
            <w:r w:rsidR="007A6830" w:rsidRPr="00D518DC">
              <w:rPr>
                <w:rFonts w:eastAsia="Times New Roman" w:cs="Arial"/>
                <w:bCs/>
                <w:sz w:val="24"/>
                <w:szCs w:val="24"/>
              </w:rPr>
              <w:t xml:space="preserve">with 8 FTCs </w:t>
            </w:r>
            <w:r w:rsidR="00D518DC">
              <w:rPr>
                <w:rFonts w:eastAsia="Times New Roman" w:cs="Arial"/>
                <w:bCs/>
                <w:sz w:val="24"/>
                <w:szCs w:val="24"/>
              </w:rPr>
              <w:t xml:space="preserve">currently </w:t>
            </w:r>
            <w:r w:rsidR="007A6830" w:rsidRPr="00D518DC">
              <w:rPr>
                <w:rFonts w:eastAsia="Times New Roman" w:cs="Arial"/>
                <w:bCs/>
                <w:sz w:val="24"/>
                <w:szCs w:val="24"/>
              </w:rPr>
              <w:t xml:space="preserve">forecasted </w:t>
            </w:r>
            <w:r w:rsidR="00D518DC" w:rsidRPr="00D518DC">
              <w:rPr>
                <w:rFonts w:eastAsia="Times New Roman" w:cs="Arial"/>
                <w:bCs/>
                <w:sz w:val="24"/>
                <w:szCs w:val="24"/>
              </w:rPr>
              <w:t xml:space="preserve">as </w:t>
            </w:r>
            <w:proofErr w:type="gramStart"/>
            <w:r w:rsidR="007A6830" w:rsidRPr="00D518DC">
              <w:rPr>
                <w:rFonts w:eastAsia="Times New Roman" w:cs="Arial"/>
                <w:bCs/>
                <w:sz w:val="24"/>
                <w:szCs w:val="24"/>
              </w:rPr>
              <w:t>at</w:t>
            </w:r>
            <w:proofErr w:type="gramEnd"/>
            <w:r w:rsidR="007A6830" w:rsidRPr="00D518DC">
              <w:rPr>
                <w:rFonts w:eastAsia="Times New Roman" w:cs="Arial"/>
                <w:bCs/>
                <w:sz w:val="24"/>
                <w:szCs w:val="24"/>
              </w:rPr>
              <w:t xml:space="preserve"> March 2024.  There are 5 potential ill health retirements, however the timing of these is uncertain </w:t>
            </w:r>
            <w:r w:rsidR="00D518DC" w:rsidRPr="00D518DC">
              <w:rPr>
                <w:rFonts w:eastAsia="Times New Roman" w:cs="Arial"/>
                <w:bCs/>
                <w:sz w:val="24"/>
                <w:szCs w:val="24"/>
              </w:rPr>
              <w:t>and they remain forecasted for the remainder of the financial year</w:t>
            </w:r>
            <w:r w:rsidR="00D518DC">
              <w:rPr>
                <w:rFonts w:eastAsia="Times New Roman" w:cs="Arial"/>
                <w:bCs/>
                <w:sz w:val="24"/>
                <w:szCs w:val="24"/>
              </w:rPr>
              <w:t>.</w:t>
            </w:r>
          </w:p>
          <w:p w14:paraId="60223549" w14:textId="77777777" w:rsidR="0085187C" w:rsidRPr="007E060C" w:rsidRDefault="0085187C" w:rsidP="006E7704">
            <w:pPr>
              <w:jc w:val="both"/>
              <w:rPr>
                <w:rFonts w:eastAsia="Times New Roman" w:cs="Arial"/>
                <w:bCs/>
                <w:sz w:val="24"/>
                <w:szCs w:val="24"/>
              </w:rPr>
            </w:pPr>
          </w:p>
          <w:p w14:paraId="3DDF0A44" w14:textId="1409B871" w:rsidR="002F5D0A" w:rsidRDefault="00604AA3" w:rsidP="006E7704">
            <w:pPr>
              <w:jc w:val="both"/>
              <w:rPr>
                <w:rFonts w:eastAsia="Times New Roman" w:cs="Arial"/>
                <w:bCs/>
                <w:sz w:val="24"/>
                <w:szCs w:val="24"/>
              </w:rPr>
            </w:pPr>
            <w:r>
              <w:rPr>
                <w:rFonts w:eastAsia="Times New Roman" w:cs="Arial"/>
                <w:bCs/>
                <w:sz w:val="24"/>
                <w:szCs w:val="24"/>
              </w:rPr>
              <w:lastRenderedPageBreak/>
              <w:t>Overtime levels have remained consistent across 2023/24 and demonstrate a reliance on overtime to cover crewing shortages.  The current forecasting model</w:t>
            </w:r>
            <w:r w:rsidR="0085187C">
              <w:rPr>
                <w:rFonts w:eastAsia="Times New Roman" w:cs="Arial"/>
                <w:bCs/>
                <w:sz w:val="24"/>
                <w:szCs w:val="24"/>
              </w:rPr>
              <w:t xml:space="preserve"> which extrapolates year to date overtime based on prior year overtime profiling</w:t>
            </w:r>
            <w:r>
              <w:rPr>
                <w:rFonts w:eastAsia="Times New Roman" w:cs="Arial"/>
                <w:bCs/>
                <w:sz w:val="24"/>
                <w:szCs w:val="24"/>
              </w:rPr>
              <w:t xml:space="preserve"> appears to be effective</w:t>
            </w:r>
            <w:r w:rsidR="007D0483">
              <w:rPr>
                <w:rFonts w:eastAsia="Times New Roman" w:cs="Arial"/>
                <w:bCs/>
                <w:sz w:val="24"/>
                <w:szCs w:val="24"/>
              </w:rPr>
              <w:t xml:space="preserve"> as actual costs since P6 are in line with the previous forecast and have not reduced as hoped</w:t>
            </w:r>
            <w:r w:rsidR="0085187C">
              <w:rPr>
                <w:rFonts w:eastAsia="Times New Roman" w:cs="Arial"/>
                <w:bCs/>
                <w:sz w:val="24"/>
                <w:szCs w:val="24"/>
              </w:rPr>
              <w:t>.  The Flexible Resource Pool with</w:t>
            </w:r>
            <w:r w:rsidR="003D318B">
              <w:rPr>
                <w:rFonts w:eastAsia="Times New Roman" w:cs="Arial"/>
                <w:bCs/>
                <w:sz w:val="24"/>
                <w:szCs w:val="24"/>
              </w:rPr>
              <w:t>in</w:t>
            </w:r>
            <w:r w:rsidR="0085187C">
              <w:rPr>
                <w:rFonts w:eastAsia="Times New Roman" w:cs="Arial"/>
                <w:bCs/>
                <w:sz w:val="24"/>
                <w:szCs w:val="24"/>
              </w:rPr>
              <w:t xml:space="preserve"> </w:t>
            </w:r>
            <w:r w:rsidR="003D318B">
              <w:rPr>
                <w:rFonts w:eastAsia="Times New Roman" w:cs="Arial"/>
                <w:bCs/>
                <w:sz w:val="24"/>
                <w:szCs w:val="24"/>
              </w:rPr>
              <w:t>OSR</w:t>
            </w:r>
            <w:r w:rsidR="0085187C">
              <w:rPr>
                <w:rFonts w:eastAsia="Times New Roman" w:cs="Arial"/>
                <w:bCs/>
                <w:sz w:val="24"/>
                <w:szCs w:val="24"/>
              </w:rPr>
              <w:t xml:space="preserve"> is now fully established and is supported by on-call staff</w:t>
            </w:r>
            <w:r w:rsidR="003D318B">
              <w:rPr>
                <w:rFonts w:eastAsia="Times New Roman" w:cs="Arial"/>
                <w:bCs/>
                <w:sz w:val="24"/>
                <w:szCs w:val="24"/>
              </w:rPr>
              <w:t>.  I</w:t>
            </w:r>
            <w:r w:rsidR="0085187C">
              <w:rPr>
                <w:rFonts w:eastAsia="Times New Roman" w:cs="Arial"/>
                <w:bCs/>
                <w:sz w:val="24"/>
                <w:szCs w:val="24"/>
              </w:rPr>
              <w:t xml:space="preserve">t is not yet clear </w:t>
            </w:r>
            <w:r w:rsidR="003D318B">
              <w:rPr>
                <w:rFonts w:eastAsia="Times New Roman" w:cs="Arial"/>
                <w:bCs/>
                <w:sz w:val="24"/>
                <w:szCs w:val="24"/>
              </w:rPr>
              <w:t>the impact that</w:t>
            </w:r>
            <w:r w:rsidR="0085187C">
              <w:rPr>
                <w:rFonts w:eastAsia="Times New Roman" w:cs="Arial"/>
                <w:bCs/>
                <w:sz w:val="24"/>
                <w:szCs w:val="24"/>
              </w:rPr>
              <w:t xml:space="preserve"> this will have </w:t>
            </w:r>
            <w:r w:rsidR="003D318B">
              <w:rPr>
                <w:rFonts w:eastAsia="Times New Roman" w:cs="Arial"/>
                <w:bCs/>
                <w:sz w:val="24"/>
                <w:szCs w:val="24"/>
              </w:rPr>
              <w:t xml:space="preserve">in reducing </w:t>
            </w:r>
            <w:proofErr w:type="gramStart"/>
            <w:r w:rsidR="0085187C">
              <w:rPr>
                <w:rFonts w:eastAsia="Times New Roman" w:cs="Arial"/>
                <w:bCs/>
                <w:sz w:val="24"/>
                <w:szCs w:val="24"/>
              </w:rPr>
              <w:t>overtime</w:t>
            </w:r>
            <w:proofErr w:type="gramEnd"/>
            <w:r w:rsidR="0085187C">
              <w:rPr>
                <w:rFonts w:eastAsia="Times New Roman" w:cs="Arial"/>
                <w:bCs/>
                <w:sz w:val="24"/>
                <w:szCs w:val="24"/>
              </w:rPr>
              <w:t xml:space="preserve"> </w:t>
            </w:r>
            <w:r w:rsidR="003D318B">
              <w:rPr>
                <w:rFonts w:eastAsia="Times New Roman" w:cs="Arial"/>
                <w:bCs/>
                <w:sz w:val="24"/>
                <w:szCs w:val="24"/>
              </w:rPr>
              <w:t xml:space="preserve">but </w:t>
            </w:r>
            <w:r w:rsidR="0085187C">
              <w:rPr>
                <w:rFonts w:eastAsia="Times New Roman" w:cs="Arial"/>
                <w:bCs/>
                <w:sz w:val="24"/>
                <w:szCs w:val="24"/>
              </w:rPr>
              <w:t>it is anticipated we will have a better understanding once these individuals have been in post for a couple of months.</w:t>
            </w:r>
          </w:p>
          <w:p w14:paraId="69E6C1A1" w14:textId="77777777" w:rsidR="00D518DC" w:rsidRDefault="00D518DC" w:rsidP="006E7704">
            <w:pPr>
              <w:jc w:val="both"/>
              <w:rPr>
                <w:rFonts w:eastAsia="Times New Roman" w:cs="Arial"/>
                <w:bCs/>
                <w:sz w:val="24"/>
                <w:szCs w:val="24"/>
              </w:rPr>
            </w:pPr>
          </w:p>
          <w:p w14:paraId="3034AC59" w14:textId="61AE08D9" w:rsidR="00D518DC" w:rsidRPr="007E060C" w:rsidRDefault="00D518DC" w:rsidP="006E7704">
            <w:pPr>
              <w:jc w:val="both"/>
              <w:rPr>
                <w:rFonts w:eastAsia="Times New Roman" w:cs="Arial"/>
                <w:bCs/>
                <w:sz w:val="24"/>
                <w:szCs w:val="24"/>
              </w:rPr>
            </w:pPr>
            <w:r>
              <w:rPr>
                <w:rFonts w:eastAsia="Times New Roman" w:cs="Arial"/>
                <w:bCs/>
                <w:sz w:val="24"/>
                <w:szCs w:val="24"/>
              </w:rPr>
              <w:t>It is likely that some pressures will continue into 2024/25 and further analysis needs to be undertaken to understand the potential level of this pressure.</w:t>
            </w:r>
          </w:p>
          <w:p w14:paraId="3099A965" w14:textId="77777777" w:rsidR="002F5D0A" w:rsidRPr="007E060C" w:rsidRDefault="002F5D0A" w:rsidP="006E7704">
            <w:pPr>
              <w:jc w:val="both"/>
              <w:rPr>
                <w:rFonts w:eastAsia="Times New Roman" w:cs="Arial"/>
                <w:bCs/>
                <w:sz w:val="24"/>
                <w:szCs w:val="24"/>
              </w:rPr>
            </w:pPr>
          </w:p>
          <w:p w14:paraId="4E07459A" w14:textId="77777777" w:rsidR="002F5D0A" w:rsidRPr="007E060C" w:rsidRDefault="002F5D0A" w:rsidP="006E7704">
            <w:pPr>
              <w:jc w:val="both"/>
              <w:rPr>
                <w:rFonts w:eastAsia="Times New Roman" w:cs="Arial"/>
                <w:bCs/>
                <w:sz w:val="24"/>
                <w:szCs w:val="24"/>
              </w:rPr>
            </w:pPr>
          </w:p>
          <w:p w14:paraId="080609CD" w14:textId="080FF51F" w:rsidR="002F5D0A" w:rsidRPr="007E060C" w:rsidRDefault="002F5D0A" w:rsidP="006E7704">
            <w:pPr>
              <w:jc w:val="both"/>
              <w:rPr>
                <w:rFonts w:eastAsia="Times New Roman" w:cs="Arial"/>
                <w:bCs/>
                <w:sz w:val="24"/>
                <w:szCs w:val="24"/>
              </w:rPr>
            </w:pPr>
            <w:r w:rsidRPr="007E060C">
              <w:rPr>
                <w:rFonts w:eastAsia="Times New Roman" w:cs="Arial"/>
                <w:b/>
                <w:sz w:val="24"/>
                <w:szCs w:val="24"/>
              </w:rPr>
              <w:t xml:space="preserve">West: </w:t>
            </w:r>
            <w:r w:rsidRPr="007E060C">
              <w:rPr>
                <w:rFonts w:eastAsia="Times New Roman" w:cs="Arial"/>
                <w:bCs/>
                <w:sz w:val="24"/>
                <w:szCs w:val="24"/>
              </w:rPr>
              <w:t>An overspend of £</w:t>
            </w:r>
            <w:r w:rsidR="009138C6" w:rsidRPr="007E060C">
              <w:rPr>
                <w:rFonts w:eastAsia="Times New Roman" w:cs="Arial"/>
                <w:bCs/>
                <w:sz w:val="24"/>
                <w:szCs w:val="24"/>
              </w:rPr>
              <w:t>591</w:t>
            </w:r>
            <w:r w:rsidRPr="007E060C">
              <w:rPr>
                <w:rFonts w:eastAsia="Times New Roman" w:cs="Arial"/>
                <w:bCs/>
                <w:sz w:val="24"/>
                <w:szCs w:val="24"/>
              </w:rPr>
              <w:t xml:space="preserve">,000 is expected.  Overspend of £305,000 relates to wholetime pay, with an average over-establishment of 8.83 during the year.  Additionally £234,000 overspend is due to overtime with a further £81,000 relating to on-call spend, offset by an underspend of £33,000 across wholetime and on-call.  </w:t>
            </w:r>
          </w:p>
          <w:p w14:paraId="6AB2C3AE" w14:textId="77777777" w:rsidR="002F5D0A" w:rsidRPr="007E060C" w:rsidRDefault="002F5D0A" w:rsidP="006E7704">
            <w:pPr>
              <w:jc w:val="both"/>
              <w:rPr>
                <w:rFonts w:eastAsia="Times New Roman" w:cs="Arial"/>
                <w:bCs/>
                <w:sz w:val="24"/>
                <w:szCs w:val="24"/>
              </w:rPr>
            </w:pPr>
          </w:p>
          <w:p w14:paraId="6709CB9E" w14:textId="2F54DE03" w:rsidR="002F5D0A" w:rsidRPr="007E060C" w:rsidRDefault="002F5D0A" w:rsidP="006E7704">
            <w:pPr>
              <w:jc w:val="both"/>
              <w:rPr>
                <w:rFonts w:eastAsia="Times New Roman" w:cs="Arial"/>
                <w:bCs/>
                <w:sz w:val="24"/>
                <w:szCs w:val="24"/>
              </w:rPr>
            </w:pPr>
            <w:r w:rsidRPr="007E060C">
              <w:rPr>
                <w:rFonts w:eastAsia="Times New Roman" w:cs="Arial"/>
                <w:b/>
                <w:sz w:val="24"/>
                <w:szCs w:val="24"/>
              </w:rPr>
              <w:t xml:space="preserve">Central: </w:t>
            </w:r>
            <w:r w:rsidRPr="007E060C">
              <w:rPr>
                <w:rFonts w:eastAsia="Times New Roman" w:cs="Arial"/>
                <w:bCs/>
                <w:sz w:val="24"/>
                <w:szCs w:val="24"/>
              </w:rPr>
              <w:t>An overspend of £1</w:t>
            </w:r>
            <w:r w:rsidR="009138C6" w:rsidRPr="007E060C">
              <w:rPr>
                <w:rFonts w:eastAsia="Times New Roman" w:cs="Arial"/>
                <w:bCs/>
                <w:sz w:val="24"/>
                <w:szCs w:val="24"/>
              </w:rPr>
              <w:t>19</w:t>
            </w:r>
            <w:r w:rsidRPr="007E060C">
              <w:rPr>
                <w:rFonts w:eastAsia="Times New Roman" w:cs="Arial"/>
                <w:bCs/>
                <w:sz w:val="24"/>
                <w:szCs w:val="24"/>
              </w:rPr>
              <w:t xml:space="preserve">,000 is expected.  Overspend of £78,000 relates to wholetime pay, with an average over-establishment of 2 during the year.   Additionally £150,000 overspend is due to overtime and this is offset by an underspend of £48,000 relating to on-call spend and £71,000 relating to CPD across wholetime and on-call.  </w:t>
            </w:r>
          </w:p>
          <w:p w14:paraId="7DD54B54" w14:textId="77777777" w:rsidR="002F5D0A" w:rsidRPr="007E060C" w:rsidRDefault="002F5D0A" w:rsidP="006E7704">
            <w:pPr>
              <w:jc w:val="both"/>
              <w:rPr>
                <w:rFonts w:eastAsia="Times New Roman" w:cs="Arial"/>
                <w:bCs/>
                <w:sz w:val="24"/>
                <w:szCs w:val="24"/>
              </w:rPr>
            </w:pPr>
          </w:p>
          <w:p w14:paraId="5E9B978A" w14:textId="77777777" w:rsidR="002F5D0A" w:rsidRDefault="002F5D0A" w:rsidP="001E1B9A">
            <w:pPr>
              <w:jc w:val="both"/>
              <w:rPr>
                <w:rFonts w:eastAsia="Times New Roman" w:cs="Arial"/>
                <w:bCs/>
                <w:sz w:val="24"/>
                <w:szCs w:val="24"/>
              </w:rPr>
            </w:pPr>
            <w:r w:rsidRPr="007E060C">
              <w:rPr>
                <w:rFonts w:eastAsia="Times New Roman" w:cs="Arial"/>
                <w:b/>
                <w:sz w:val="24"/>
                <w:szCs w:val="24"/>
              </w:rPr>
              <w:t xml:space="preserve">East: </w:t>
            </w:r>
            <w:r w:rsidRPr="007E060C">
              <w:rPr>
                <w:rFonts w:eastAsia="Times New Roman" w:cs="Arial"/>
                <w:bCs/>
                <w:sz w:val="24"/>
                <w:szCs w:val="24"/>
              </w:rPr>
              <w:t>An overspend of £2</w:t>
            </w:r>
            <w:r w:rsidR="009138C6" w:rsidRPr="007E060C">
              <w:rPr>
                <w:rFonts w:eastAsia="Times New Roman" w:cs="Arial"/>
                <w:bCs/>
                <w:sz w:val="24"/>
                <w:szCs w:val="24"/>
              </w:rPr>
              <w:t>60</w:t>
            </w:r>
            <w:r w:rsidRPr="007E060C">
              <w:rPr>
                <w:rFonts w:eastAsia="Times New Roman" w:cs="Arial"/>
                <w:bCs/>
                <w:sz w:val="24"/>
                <w:szCs w:val="24"/>
              </w:rPr>
              <w:t xml:space="preserve">,000 is expected. Overspend of £45,000 relates to wholetime pay, with an average over-establishment of 2.33. Additionally £132,000 overspend is due to overtime with a further £124,000 relating to on-call spend, offset by an underspend of £36,000 on CPD for wholetime and on-call. </w:t>
            </w:r>
          </w:p>
          <w:p w14:paraId="53240967" w14:textId="6599F6BD" w:rsidR="003D318B" w:rsidRPr="007E060C" w:rsidRDefault="003D318B" w:rsidP="001E1B9A">
            <w:pPr>
              <w:jc w:val="both"/>
              <w:rPr>
                <w:rFonts w:eastAsia="Times New Roman" w:cs="Arial"/>
                <w:sz w:val="24"/>
                <w:szCs w:val="24"/>
              </w:rPr>
            </w:pPr>
          </w:p>
        </w:tc>
      </w:tr>
      <w:tr w:rsidR="002F5D0A" w:rsidRPr="00301D4F" w14:paraId="02BC1E69" w14:textId="77777777" w:rsidTr="00BF65A0">
        <w:trPr>
          <w:gridAfter w:val="1"/>
          <w:wAfter w:w="249" w:type="dxa"/>
        </w:trPr>
        <w:tc>
          <w:tcPr>
            <w:tcW w:w="885" w:type="dxa"/>
            <w:gridSpan w:val="2"/>
          </w:tcPr>
          <w:p w14:paraId="6D97D731" w14:textId="18EC7C54" w:rsidR="002F5D0A" w:rsidRPr="00CE55DD" w:rsidRDefault="002F5D0A" w:rsidP="00573DBD">
            <w:pPr>
              <w:rPr>
                <w:rFonts w:eastAsia="Times New Roman" w:cs="Arial"/>
                <w:sz w:val="24"/>
                <w:szCs w:val="24"/>
              </w:rPr>
            </w:pPr>
            <w:r w:rsidRPr="00CE55DD">
              <w:rPr>
                <w:rFonts w:eastAsia="Times New Roman" w:cs="Arial"/>
                <w:bCs/>
                <w:sz w:val="24"/>
                <w:szCs w:val="24"/>
              </w:rPr>
              <w:lastRenderedPageBreak/>
              <w:t>2.</w:t>
            </w:r>
            <w:r w:rsidR="007E060C" w:rsidRPr="00CE55DD">
              <w:rPr>
                <w:rFonts w:eastAsia="Times New Roman" w:cs="Arial"/>
                <w:bCs/>
                <w:sz w:val="24"/>
                <w:szCs w:val="24"/>
              </w:rPr>
              <w:t>7</w:t>
            </w:r>
            <w:r w:rsidRPr="00CE55DD">
              <w:rPr>
                <w:rFonts w:eastAsia="Times New Roman" w:cs="Arial"/>
                <w:bCs/>
                <w:sz w:val="24"/>
                <w:szCs w:val="24"/>
              </w:rPr>
              <w:t>.3</w:t>
            </w:r>
          </w:p>
        </w:tc>
        <w:tc>
          <w:tcPr>
            <w:tcW w:w="8931" w:type="dxa"/>
          </w:tcPr>
          <w:p w14:paraId="6B7F5F90" w14:textId="438785B9" w:rsidR="002F5D0A" w:rsidRPr="00CE55DD" w:rsidRDefault="002F5D0A" w:rsidP="00A6658D">
            <w:pPr>
              <w:jc w:val="both"/>
              <w:rPr>
                <w:rFonts w:eastAsia="Times New Roman" w:cs="Arial"/>
                <w:bCs/>
                <w:sz w:val="24"/>
                <w:szCs w:val="24"/>
              </w:rPr>
            </w:pPr>
            <w:r w:rsidRPr="00CE55DD">
              <w:rPr>
                <w:rFonts w:eastAsia="Times New Roman" w:cs="Arial"/>
                <w:b/>
                <w:sz w:val="24"/>
                <w:szCs w:val="24"/>
              </w:rPr>
              <w:t xml:space="preserve">Prevention: </w:t>
            </w:r>
            <w:r w:rsidRPr="00CE55DD">
              <w:rPr>
                <w:rFonts w:eastAsia="Times New Roman" w:cs="Arial"/>
                <w:bCs/>
                <w:sz w:val="24"/>
                <w:szCs w:val="24"/>
              </w:rPr>
              <w:t>An underspend of £</w:t>
            </w:r>
            <w:r w:rsidR="00790310" w:rsidRPr="00CE55DD">
              <w:rPr>
                <w:rFonts w:eastAsia="Times New Roman" w:cs="Arial"/>
                <w:bCs/>
                <w:sz w:val="24"/>
                <w:szCs w:val="24"/>
              </w:rPr>
              <w:t>25</w:t>
            </w:r>
            <w:r w:rsidRPr="00CE55DD">
              <w:rPr>
                <w:rFonts w:eastAsia="Times New Roman" w:cs="Arial"/>
                <w:bCs/>
                <w:sz w:val="24"/>
                <w:szCs w:val="24"/>
              </w:rPr>
              <w:t>,000 is expected (previous forecast £17,000 underspend). An underspend of £</w:t>
            </w:r>
            <w:r w:rsidR="00CE55DD" w:rsidRPr="00CE55DD">
              <w:rPr>
                <w:rFonts w:eastAsia="Times New Roman" w:cs="Arial"/>
                <w:bCs/>
                <w:sz w:val="24"/>
                <w:szCs w:val="24"/>
              </w:rPr>
              <w:t>60</w:t>
            </w:r>
            <w:r w:rsidRPr="00CE55DD">
              <w:rPr>
                <w:rFonts w:eastAsia="Times New Roman" w:cs="Arial"/>
                <w:bCs/>
                <w:sz w:val="24"/>
                <w:szCs w:val="24"/>
              </w:rPr>
              <w:t>,000 relates to vacancies within the department.  These are offset by an overspend of £1</w:t>
            </w:r>
            <w:r w:rsidR="00CE55DD" w:rsidRPr="00CE55DD">
              <w:rPr>
                <w:rFonts w:eastAsia="Times New Roman" w:cs="Arial"/>
                <w:bCs/>
                <w:sz w:val="24"/>
                <w:szCs w:val="24"/>
              </w:rPr>
              <w:t>8</w:t>
            </w:r>
            <w:r w:rsidRPr="00CE55DD">
              <w:rPr>
                <w:rFonts w:eastAsia="Times New Roman" w:cs="Arial"/>
                <w:bCs/>
                <w:sz w:val="24"/>
                <w:szCs w:val="24"/>
              </w:rPr>
              <w:t>,000 relating to Cadets, £1</w:t>
            </w:r>
            <w:r w:rsidR="00CE55DD" w:rsidRPr="00CE55DD">
              <w:rPr>
                <w:rFonts w:eastAsia="Times New Roman" w:cs="Arial"/>
                <w:bCs/>
                <w:sz w:val="24"/>
                <w:szCs w:val="24"/>
              </w:rPr>
              <w:t>7</w:t>
            </w:r>
            <w:r w:rsidRPr="00CE55DD">
              <w:rPr>
                <w:rFonts w:eastAsia="Times New Roman" w:cs="Arial"/>
                <w:bCs/>
                <w:sz w:val="24"/>
                <w:szCs w:val="24"/>
              </w:rPr>
              <w:t xml:space="preserve">,000 overtime for Home Safety Visits and £5,000 for </w:t>
            </w:r>
            <w:proofErr w:type="spellStart"/>
            <w:r w:rsidRPr="00CE55DD">
              <w:rPr>
                <w:rFonts w:eastAsia="Times New Roman" w:cs="Arial"/>
                <w:bCs/>
                <w:sz w:val="24"/>
                <w:szCs w:val="24"/>
              </w:rPr>
              <w:t>Soloprotect</w:t>
            </w:r>
            <w:proofErr w:type="spellEnd"/>
            <w:r w:rsidRPr="00CE55DD">
              <w:rPr>
                <w:rFonts w:eastAsia="Times New Roman" w:cs="Arial"/>
                <w:bCs/>
                <w:sz w:val="24"/>
                <w:szCs w:val="24"/>
              </w:rPr>
              <w:t xml:space="preserve"> service charge which supports lone working.  There are a number of other variances within the department.</w:t>
            </w:r>
          </w:p>
          <w:p w14:paraId="10820DA1" w14:textId="77777777" w:rsidR="002F5D0A" w:rsidRPr="00CE55DD" w:rsidRDefault="002F5D0A" w:rsidP="00A6658D">
            <w:pPr>
              <w:jc w:val="both"/>
              <w:rPr>
                <w:rFonts w:eastAsia="Times New Roman" w:cs="Arial"/>
                <w:bCs/>
                <w:sz w:val="24"/>
                <w:szCs w:val="24"/>
              </w:rPr>
            </w:pPr>
          </w:p>
          <w:p w14:paraId="2CEA9B00" w14:textId="77777777" w:rsidR="002F5D0A" w:rsidRDefault="002F5D0A" w:rsidP="001E1B9A">
            <w:pPr>
              <w:jc w:val="both"/>
              <w:rPr>
                <w:rFonts w:eastAsia="Times New Roman" w:cs="Arial"/>
                <w:bCs/>
                <w:sz w:val="24"/>
                <w:szCs w:val="24"/>
              </w:rPr>
            </w:pPr>
            <w:r w:rsidRPr="00CE55DD">
              <w:rPr>
                <w:rFonts w:eastAsia="Times New Roman" w:cs="Arial"/>
                <w:bCs/>
                <w:sz w:val="24"/>
                <w:szCs w:val="24"/>
              </w:rPr>
              <w:t>The movement since P</w:t>
            </w:r>
            <w:r w:rsidR="00CE55DD" w:rsidRPr="00CE55DD">
              <w:rPr>
                <w:rFonts w:eastAsia="Times New Roman" w:cs="Arial"/>
                <w:bCs/>
                <w:sz w:val="24"/>
                <w:szCs w:val="24"/>
              </w:rPr>
              <w:t>6</w:t>
            </w:r>
            <w:r w:rsidRPr="00CE55DD">
              <w:rPr>
                <w:rFonts w:eastAsia="Times New Roman" w:cs="Arial"/>
                <w:bCs/>
                <w:sz w:val="24"/>
                <w:szCs w:val="24"/>
              </w:rPr>
              <w:t xml:space="preserve"> can be largely </w:t>
            </w:r>
            <w:r w:rsidR="001E1B9A">
              <w:rPr>
                <w:rFonts w:eastAsia="Times New Roman" w:cs="Arial"/>
                <w:bCs/>
                <w:sz w:val="24"/>
                <w:szCs w:val="24"/>
              </w:rPr>
              <w:t>attributed to allocation of additional budget for pay award which includes those posts are vacant.</w:t>
            </w:r>
          </w:p>
          <w:p w14:paraId="752760DE" w14:textId="06D82405" w:rsidR="001E1B9A" w:rsidRPr="00CE55DD" w:rsidRDefault="001E1B9A" w:rsidP="001E1B9A">
            <w:pPr>
              <w:jc w:val="both"/>
              <w:rPr>
                <w:rFonts w:eastAsia="Times New Roman" w:cs="Arial"/>
                <w:bCs/>
                <w:sz w:val="24"/>
                <w:szCs w:val="24"/>
              </w:rPr>
            </w:pPr>
          </w:p>
        </w:tc>
      </w:tr>
      <w:tr w:rsidR="002F5D0A" w:rsidRPr="00301D4F" w14:paraId="2640CD4A" w14:textId="77777777" w:rsidTr="00BF65A0">
        <w:trPr>
          <w:gridAfter w:val="1"/>
          <w:wAfter w:w="249" w:type="dxa"/>
        </w:trPr>
        <w:tc>
          <w:tcPr>
            <w:tcW w:w="885" w:type="dxa"/>
            <w:gridSpan w:val="2"/>
          </w:tcPr>
          <w:p w14:paraId="435F2667" w14:textId="647CBFE5" w:rsidR="002F5D0A" w:rsidRPr="004A4349" w:rsidRDefault="002F5D0A" w:rsidP="00573DBD">
            <w:pPr>
              <w:rPr>
                <w:rFonts w:eastAsia="Times New Roman" w:cs="Arial"/>
                <w:b/>
                <w:sz w:val="24"/>
                <w:szCs w:val="24"/>
              </w:rPr>
            </w:pPr>
            <w:r w:rsidRPr="004A4349">
              <w:rPr>
                <w:rFonts w:eastAsia="Times New Roman" w:cs="Arial"/>
                <w:bCs/>
                <w:sz w:val="24"/>
                <w:szCs w:val="24"/>
              </w:rPr>
              <w:t>2.</w:t>
            </w:r>
            <w:r w:rsidR="007E060C">
              <w:rPr>
                <w:rFonts w:eastAsia="Times New Roman" w:cs="Arial"/>
                <w:bCs/>
                <w:sz w:val="24"/>
                <w:szCs w:val="24"/>
              </w:rPr>
              <w:t>7</w:t>
            </w:r>
            <w:r w:rsidRPr="004A4349">
              <w:rPr>
                <w:rFonts w:eastAsia="Times New Roman" w:cs="Arial"/>
                <w:bCs/>
                <w:sz w:val="24"/>
                <w:szCs w:val="24"/>
              </w:rPr>
              <w:t>.4</w:t>
            </w:r>
          </w:p>
        </w:tc>
        <w:tc>
          <w:tcPr>
            <w:tcW w:w="8931" w:type="dxa"/>
          </w:tcPr>
          <w:p w14:paraId="1CDCE0F6" w14:textId="3B3A0016" w:rsidR="002F5D0A" w:rsidRPr="004A4349" w:rsidRDefault="002F5D0A" w:rsidP="00955177">
            <w:pPr>
              <w:rPr>
                <w:rFonts w:eastAsia="Times New Roman" w:cs="Arial"/>
                <w:bCs/>
                <w:sz w:val="24"/>
                <w:szCs w:val="24"/>
              </w:rPr>
            </w:pPr>
            <w:r w:rsidRPr="004A4349">
              <w:rPr>
                <w:rFonts w:eastAsia="Times New Roman" w:cs="Arial"/>
                <w:b/>
                <w:sz w:val="24"/>
                <w:szCs w:val="24"/>
              </w:rPr>
              <w:t xml:space="preserve">Protection: </w:t>
            </w:r>
            <w:r w:rsidRPr="004A4349">
              <w:rPr>
                <w:rFonts w:eastAsia="Times New Roman" w:cs="Arial"/>
                <w:bCs/>
                <w:sz w:val="24"/>
                <w:szCs w:val="24"/>
              </w:rPr>
              <w:t>An underspend of £1</w:t>
            </w:r>
            <w:r w:rsidR="009138C6" w:rsidRPr="004A4349">
              <w:rPr>
                <w:rFonts w:eastAsia="Times New Roman" w:cs="Arial"/>
                <w:bCs/>
                <w:sz w:val="24"/>
                <w:szCs w:val="24"/>
              </w:rPr>
              <w:t>28</w:t>
            </w:r>
            <w:r w:rsidRPr="004A4349">
              <w:rPr>
                <w:rFonts w:eastAsia="Times New Roman" w:cs="Arial"/>
                <w:bCs/>
                <w:sz w:val="24"/>
                <w:szCs w:val="24"/>
              </w:rPr>
              <w:t>,000 (previously forecast £116,000 underspend).  The underspend mainly relates to vacancies within the department.</w:t>
            </w:r>
          </w:p>
          <w:p w14:paraId="60AF01ED" w14:textId="77777777" w:rsidR="002F5D0A" w:rsidRPr="004A4349" w:rsidRDefault="002F5D0A" w:rsidP="00955177">
            <w:pPr>
              <w:rPr>
                <w:rFonts w:eastAsia="Times New Roman" w:cs="Arial"/>
                <w:bCs/>
                <w:sz w:val="24"/>
                <w:szCs w:val="24"/>
              </w:rPr>
            </w:pPr>
          </w:p>
          <w:p w14:paraId="34E9C2A8" w14:textId="00F5D465" w:rsidR="002F5D0A" w:rsidRPr="004A4349" w:rsidRDefault="002F5D0A" w:rsidP="00955177">
            <w:pPr>
              <w:rPr>
                <w:rFonts w:eastAsia="Times New Roman" w:cs="Arial"/>
                <w:bCs/>
                <w:sz w:val="24"/>
                <w:szCs w:val="24"/>
              </w:rPr>
            </w:pPr>
            <w:r w:rsidRPr="004A4349">
              <w:rPr>
                <w:rFonts w:eastAsia="Times New Roman" w:cs="Arial"/>
                <w:bCs/>
                <w:sz w:val="24"/>
                <w:szCs w:val="24"/>
              </w:rPr>
              <w:t xml:space="preserve">The movement since P6 can be </w:t>
            </w:r>
            <w:r w:rsidR="009138C6" w:rsidRPr="004A4349">
              <w:rPr>
                <w:rFonts w:eastAsia="Times New Roman" w:cs="Arial"/>
                <w:bCs/>
                <w:sz w:val="24"/>
                <w:szCs w:val="24"/>
              </w:rPr>
              <w:t>attributed to additional budget provided for the pay award.</w:t>
            </w:r>
          </w:p>
          <w:p w14:paraId="34511935" w14:textId="094CC7C5" w:rsidR="002F5D0A" w:rsidRPr="004A4349" w:rsidRDefault="002F5D0A" w:rsidP="00F2705C">
            <w:pPr>
              <w:jc w:val="both"/>
              <w:rPr>
                <w:rFonts w:eastAsia="Times New Roman" w:cs="Arial"/>
                <w:b/>
                <w:sz w:val="24"/>
                <w:szCs w:val="24"/>
                <w:u w:val="single"/>
              </w:rPr>
            </w:pPr>
          </w:p>
        </w:tc>
      </w:tr>
      <w:tr w:rsidR="002F5D0A" w:rsidRPr="00301D4F" w14:paraId="629AA9A0" w14:textId="77777777" w:rsidTr="00BF65A0">
        <w:trPr>
          <w:gridAfter w:val="1"/>
          <w:wAfter w:w="249" w:type="dxa"/>
        </w:trPr>
        <w:tc>
          <w:tcPr>
            <w:tcW w:w="885" w:type="dxa"/>
            <w:gridSpan w:val="2"/>
          </w:tcPr>
          <w:p w14:paraId="4E5C6340" w14:textId="00924084" w:rsidR="002F5D0A" w:rsidRPr="004A4349" w:rsidRDefault="002F5D0A" w:rsidP="00573DBD">
            <w:pPr>
              <w:rPr>
                <w:rFonts w:eastAsia="Times New Roman" w:cs="Arial"/>
                <w:sz w:val="24"/>
                <w:szCs w:val="24"/>
              </w:rPr>
            </w:pPr>
            <w:r w:rsidRPr="004A4349">
              <w:rPr>
                <w:rFonts w:eastAsia="Times New Roman" w:cs="Arial"/>
                <w:bCs/>
                <w:sz w:val="24"/>
                <w:szCs w:val="24"/>
              </w:rPr>
              <w:t>2.</w:t>
            </w:r>
            <w:r w:rsidR="007E060C">
              <w:rPr>
                <w:rFonts w:eastAsia="Times New Roman" w:cs="Arial"/>
                <w:bCs/>
                <w:sz w:val="24"/>
                <w:szCs w:val="24"/>
              </w:rPr>
              <w:t>7</w:t>
            </w:r>
            <w:r w:rsidRPr="004A4349">
              <w:rPr>
                <w:rFonts w:eastAsia="Times New Roman" w:cs="Arial"/>
                <w:bCs/>
                <w:sz w:val="24"/>
                <w:szCs w:val="24"/>
              </w:rPr>
              <w:t>.5</w:t>
            </w:r>
          </w:p>
        </w:tc>
        <w:tc>
          <w:tcPr>
            <w:tcW w:w="8931" w:type="dxa"/>
          </w:tcPr>
          <w:p w14:paraId="204DA72D" w14:textId="77777777" w:rsidR="002F5D0A" w:rsidRPr="004A4349" w:rsidRDefault="002F5D0A" w:rsidP="00955177">
            <w:pPr>
              <w:rPr>
                <w:rFonts w:eastAsia="Times New Roman" w:cs="Arial"/>
                <w:bCs/>
                <w:sz w:val="24"/>
                <w:szCs w:val="24"/>
              </w:rPr>
            </w:pPr>
            <w:r w:rsidRPr="004A4349">
              <w:rPr>
                <w:rFonts w:eastAsia="Times New Roman" w:cs="Arial"/>
                <w:b/>
                <w:sz w:val="24"/>
                <w:szCs w:val="24"/>
              </w:rPr>
              <w:t>IRMP:</w:t>
            </w:r>
            <w:r w:rsidRPr="004A4349">
              <w:rPr>
                <w:rFonts w:eastAsia="Times New Roman" w:cs="Arial"/>
                <w:bCs/>
                <w:sz w:val="24"/>
                <w:szCs w:val="24"/>
              </w:rPr>
              <w:t xml:space="preserve"> An underspend of £79,000 is expected (previous forecast £45,000 underspend).  This is due to a temporary Group Manager position being held vacant.  The movement since P6 is a result of a decision not to recruit to the post for the remainder of the financial year.</w:t>
            </w:r>
          </w:p>
          <w:p w14:paraId="49587C05" w14:textId="1660EE20" w:rsidR="002F5D0A" w:rsidRPr="004A4349" w:rsidRDefault="002F5D0A" w:rsidP="0014221B">
            <w:pPr>
              <w:jc w:val="both"/>
              <w:rPr>
                <w:rFonts w:eastAsia="Times New Roman" w:cs="Arial"/>
                <w:bCs/>
                <w:sz w:val="24"/>
                <w:szCs w:val="24"/>
              </w:rPr>
            </w:pPr>
          </w:p>
        </w:tc>
      </w:tr>
      <w:tr w:rsidR="002F5D0A" w:rsidRPr="00301D4F" w14:paraId="78A11422" w14:textId="77777777" w:rsidTr="00BF65A0">
        <w:trPr>
          <w:gridAfter w:val="1"/>
          <w:wAfter w:w="249" w:type="dxa"/>
        </w:trPr>
        <w:tc>
          <w:tcPr>
            <w:tcW w:w="885" w:type="dxa"/>
            <w:gridSpan w:val="2"/>
          </w:tcPr>
          <w:p w14:paraId="2C811120" w14:textId="5683B995" w:rsidR="002F5D0A" w:rsidRPr="004A4349" w:rsidRDefault="002F5D0A" w:rsidP="00573DBD">
            <w:pPr>
              <w:rPr>
                <w:rFonts w:eastAsia="Times New Roman" w:cs="Arial"/>
                <w:sz w:val="24"/>
                <w:szCs w:val="24"/>
              </w:rPr>
            </w:pPr>
            <w:r w:rsidRPr="004A4349">
              <w:rPr>
                <w:rFonts w:eastAsia="Times New Roman" w:cs="Arial"/>
                <w:bCs/>
                <w:sz w:val="24"/>
                <w:szCs w:val="24"/>
              </w:rPr>
              <w:lastRenderedPageBreak/>
              <w:t>2.</w:t>
            </w:r>
            <w:r w:rsidR="007E060C">
              <w:rPr>
                <w:rFonts w:eastAsia="Times New Roman" w:cs="Arial"/>
                <w:bCs/>
                <w:sz w:val="24"/>
                <w:szCs w:val="24"/>
              </w:rPr>
              <w:t>8</w:t>
            </w:r>
          </w:p>
        </w:tc>
        <w:tc>
          <w:tcPr>
            <w:tcW w:w="8931" w:type="dxa"/>
          </w:tcPr>
          <w:p w14:paraId="10D9037C" w14:textId="00E5D083" w:rsidR="002F5D0A" w:rsidRPr="004A4349" w:rsidRDefault="002F5D0A" w:rsidP="00955177">
            <w:pPr>
              <w:rPr>
                <w:rFonts w:eastAsia="Times New Roman" w:cs="Arial"/>
                <w:sz w:val="24"/>
                <w:szCs w:val="24"/>
              </w:rPr>
            </w:pPr>
            <w:r w:rsidRPr="004A4349">
              <w:rPr>
                <w:rFonts w:eastAsia="Times New Roman" w:cs="Arial"/>
                <w:b/>
                <w:sz w:val="24"/>
                <w:szCs w:val="24"/>
              </w:rPr>
              <w:t>Operational Support &amp; Resilience:</w:t>
            </w:r>
            <w:r w:rsidRPr="004A4349">
              <w:rPr>
                <w:rFonts w:eastAsia="Times New Roman" w:cs="Arial"/>
                <w:sz w:val="24"/>
                <w:szCs w:val="24"/>
              </w:rPr>
              <w:t xml:space="preserve"> A forecast overspend of £</w:t>
            </w:r>
            <w:r w:rsidR="009138C6" w:rsidRPr="004A4349">
              <w:rPr>
                <w:rFonts w:eastAsia="Times New Roman" w:cs="Arial"/>
                <w:sz w:val="24"/>
                <w:szCs w:val="24"/>
              </w:rPr>
              <w:t>1</w:t>
            </w:r>
            <w:r w:rsidR="00993FB4" w:rsidRPr="004A4349">
              <w:rPr>
                <w:rFonts w:eastAsia="Times New Roman" w:cs="Arial"/>
                <w:sz w:val="24"/>
                <w:szCs w:val="24"/>
              </w:rPr>
              <w:t>9</w:t>
            </w:r>
            <w:r w:rsidRPr="004A4349">
              <w:rPr>
                <w:rFonts w:eastAsia="Times New Roman" w:cs="Arial"/>
                <w:sz w:val="24"/>
                <w:szCs w:val="24"/>
              </w:rPr>
              <w:t>,000 is expected as follows:</w:t>
            </w:r>
          </w:p>
          <w:p w14:paraId="6E7AD097" w14:textId="00FAC4FD" w:rsidR="002F5D0A" w:rsidRPr="004A4349" w:rsidRDefault="002F5D0A" w:rsidP="00FC1F59">
            <w:pPr>
              <w:jc w:val="both"/>
              <w:rPr>
                <w:rFonts w:eastAsia="Times New Roman" w:cs="Arial"/>
                <w:b/>
                <w:sz w:val="24"/>
                <w:szCs w:val="24"/>
              </w:rPr>
            </w:pPr>
          </w:p>
        </w:tc>
      </w:tr>
      <w:tr w:rsidR="002F5D0A" w:rsidRPr="00301D4F" w14:paraId="03A09CDF" w14:textId="77777777" w:rsidTr="00BF65A0">
        <w:trPr>
          <w:gridAfter w:val="1"/>
          <w:wAfter w:w="249" w:type="dxa"/>
        </w:trPr>
        <w:tc>
          <w:tcPr>
            <w:tcW w:w="885" w:type="dxa"/>
            <w:gridSpan w:val="2"/>
          </w:tcPr>
          <w:p w14:paraId="1EFDC4BE" w14:textId="64B3E9BD" w:rsidR="002F5D0A" w:rsidRPr="004A4349" w:rsidRDefault="002F5D0A" w:rsidP="00573DBD">
            <w:pPr>
              <w:rPr>
                <w:rFonts w:eastAsia="Times New Roman" w:cs="Arial"/>
                <w:bCs/>
                <w:sz w:val="24"/>
                <w:szCs w:val="24"/>
              </w:rPr>
            </w:pPr>
            <w:r w:rsidRPr="004A4349">
              <w:rPr>
                <w:rFonts w:eastAsia="Times New Roman" w:cs="Arial"/>
                <w:bCs/>
                <w:sz w:val="24"/>
                <w:szCs w:val="24"/>
              </w:rPr>
              <w:t>2.</w:t>
            </w:r>
            <w:r w:rsidR="007E060C">
              <w:rPr>
                <w:rFonts w:eastAsia="Times New Roman" w:cs="Arial"/>
                <w:bCs/>
                <w:sz w:val="24"/>
                <w:szCs w:val="24"/>
              </w:rPr>
              <w:t>8</w:t>
            </w:r>
            <w:r w:rsidRPr="004A4349">
              <w:rPr>
                <w:rFonts w:eastAsia="Times New Roman" w:cs="Arial"/>
                <w:bCs/>
                <w:sz w:val="24"/>
                <w:szCs w:val="24"/>
              </w:rPr>
              <w:t>.1</w:t>
            </w:r>
          </w:p>
        </w:tc>
        <w:tc>
          <w:tcPr>
            <w:tcW w:w="8931" w:type="dxa"/>
          </w:tcPr>
          <w:p w14:paraId="087174F5" w14:textId="07F9FDE8" w:rsidR="002F5D0A" w:rsidRPr="004A4349" w:rsidRDefault="002F5D0A" w:rsidP="00964807">
            <w:pPr>
              <w:jc w:val="both"/>
              <w:rPr>
                <w:rFonts w:eastAsia="Times New Roman" w:cs="Arial"/>
                <w:b/>
                <w:sz w:val="24"/>
                <w:szCs w:val="24"/>
              </w:rPr>
            </w:pPr>
            <w:r w:rsidRPr="004A4349">
              <w:rPr>
                <w:rFonts w:eastAsia="Times New Roman" w:cs="Arial"/>
                <w:b/>
                <w:sz w:val="24"/>
                <w:szCs w:val="24"/>
              </w:rPr>
              <w:t>AD OSR:</w:t>
            </w:r>
            <w:r w:rsidRPr="004A4349">
              <w:rPr>
                <w:rFonts w:eastAsia="Times New Roman" w:cs="Arial"/>
                <w:bCs/>
                <w:sz w:val="24"/>
                <w:szCs w:val="24"/>
              </w:rPr>
              <w:t xml:space="preserve"> An overspend of £5,000 is expected (previous forecast £</w:t>
            </w:r>
            <w:r w:rsidR="001F34C6" w:rsidRPr="004A4349">
              <w:rPr>
                <w:rFonts w:eastAsia="Times New Roman" w:cs="Arial"/>
                <w:bCs/>
                <w:sz w:val="24"/>
                <w:szCs w:val="24"/>
              </w:rPr>
              <w:t>5</w:t>
            </w:r>
            <w:r w:rsidRPr="004A4349">
              <w:rPr>
                <w:rFonts w:eastAsia="Times New Roman" w:cs="Arial"/>
                <w:bCs/>
                <w:sz w:val="24"/>
                <w:szCs w:val="24"/>
              </w:rPr>
              <w:t xml:space="preserve">,000 overspend).  The overspend can be attributed to FBU overtime for which there is no budget. </w:t>
            </w:r>
            <w:r w:rsidR="004C46F3" w:rsidRPr="004A4349">
              <w:rPr>
                <w:rFonts w:eastAsia="Times New Roman" w:cs="Arial"/>
                <w:bCs/>
                <w:sz w:val="24"/>
                <w:szCs w:val="24"/>
              </w:rPr>
              <w:t xml:space="preserve">  </w:t>
            </w:r>
          </w:p>
        </w:tc>
      </w:tr>
      <w:tr w:rsidR="002F5D0A" w:rsidRPr="00301D4F" w14:paraId="7D9E2FD3" w14:textId="77777777" w:rsidTr="00BF65A0">
        <w:trPr>
          <w:gridAfter w:val="1"/>
          <w:wAfter w:w="249" w:type="dxa"/>
        </w:trPr>
        <w:tc>
          <w:tcPr>
            <w:tcW w:w="885" w:type="dxa"/>
            <w:gridSpan w:val="2"/>
          </w:tcPr>
          <w:p w14:paraId="27078F21" w14:textId="0F6BD2BB" w:rsidR="002F5D0A" w:rsidRPr="004A4349" w:rsidRDefault="002F5D0A" w:rsidP="00573DBD">
            <w:pPr>
              <w:rPr>
                <w:rFonts w:eastAsia="Times New Roman" w:cs="Arial"/>
                <w:bCs/>
                <w:sz w:val="24"/>
                <w:szCs w:val="24"/>
              </w:rPr>
            </w:pPr>
          </w:p>
        </w:tc>
        <w:tc>
          <w:tcPr>
            <w:tcW w:w="8931" w:type="dxa"/>
          </w:tcPr>
          <w:p w14:paraId="680AB3BC" w14:textId="368002D0" w:rsidR="002F5D0A" w:rsidRPr="004A4349" w:rsidRDefault="002F5D0A" w:rsidP="00955177">
            <w:pPr>
              <w:rPr>
                <w:rFonts w:eastAsia="Times New Roman" w:cs="Arial"/>
                <w:bCs/>
                <w:sz w:val="24"/>
                <w:szCs w:val="24"/>
              </w:rPr>
            </w:pPr>
          </w:p>
        </w:tc>
      </w:tr>
      <w:tr w:rsidR="002F5D0A" w:rsidRPr="00301D4F" w14:paraId="79D19ADC" w14:textId="77777777" w:rsidTr="00BF65A0">
        <w:trPr>
          <w:gridAfter w:val="1"/>
          <w:wAfter w:w="249" w:type="dxa"/>
        </w:trPr>
        <w:tc>
          <w:tcPr>
            <w:tcW w:w="885" w:type="dxa"/>
            <w:gridSpan w:val="2"/>
          </w:tcPr>
          <w:p w14:paraId="32EB2DF3" w14:textId="50E10D4D" w:rsidR="002F5D0A" w:rsidRPr="004A4349" w:rsidRDefault="002F5D0A" w:rsidP="00573DBD">
            <w:pPr>
              <w:rPr>
                <w:rFonts w:eastAsia="Times New Roman" w:cs="Arial"/>
                <w:sz w:val="24"/>
                <w:szCs w:val="24"/>
              </w:rPr>
            </w:pPr>
            <w:r w:rsidRPr="004A4349">
              <w:rPr>
                <w:rFonts w:eastAsia="Times New Roman" w:cs="Arial"/>
                <w:bCs/>
                <w:sz w:val="24"/>
                <w:szCs w:val="24"/>
              </w:rPr>
              <w:t>2.</w:t>
            </w:r>
            <w:r w:rsidR="007E060C">
              <w:rPr>
                <w:rFonts w:eastAsia="Times New Roman" w:cs="Arial"/>
                <w:bCs/>
                <w:sz w:val="24"/>
                <w:szCs w:val="24"/>
              </w:rPr>
              <w:t>8</w:t>
            </w:r>
            <w:r w:rsidRPr="004A4349">
              <w:rPr>
                <w:rFonts w:eastAsia="Times New Roman" w:cs="Arial"/>
                <w:bCs/>
                <w:sz w:val="24"/>
                <w:szCs w:val="24"/>
              </w:rPr>
              <w:t>.2</w:t>
            </w:r>
          </w:p>
        </w:tc>
        <w:tc>
          <w:tcPr>
            <w:tcW w:w="8931" w:type="dxa"/>
          </w:tcPr>
          <w:p w14:paraId="48FF7031" w14:textId="2258CA51" w:rsidR="002F5D0A" w:rsidRPr="004A4349" w:rsidRDefault="002F5D0A" w:rsidP="00506216">
            <w:pPr>
              <w:jc w:val="both"/>
              <w:rPr>
                <w:rFonts w:eastAsia="Times New Roman" w:cs="Arial"/>
                <w:sz w:val="24"/>
                <w:szCs w:val="24"/>
              </w:rPr>
            </w:pPr>
            <w:bookmarkStart w:id="2" w:name="_Hlk121850214"/>
            <w:r w:rsidRPr="004A4349">
              <w:rPr>
                <w:b/>
                <w:sz w:val="24"/>
                <w:szCs w:val="24"/>
              </w:rPr>
              <w:t>Engineering</w:t>
            </w:r>
            <w:r w:rsidRPr="004A4349">
              <w:rPr>
                <w:bCs/>
                <w:sz w:val="24"/>
                <w:szCs w:val="24"/>
              </w:rPr>
              <w:t>:</w:t>
            </w:r>
            <w:r w:rsidRPr="004A4349">
              <w:rPr>
                <w:rFonts w:eastAsia="Times New Roman" w:cs="Arial"/>
                <w:sz w:val="24"/>
                <w:szCs w:val="24"/>
              </w:rPr>
              <w:t xml:space="preserve"> An underspend of £</w:t>
            </w:r>
            <w:r w:rsidR="009138C6" w:rsidRPr="004A4349">
              <w:rPr>
                <w:rFonts w:eastAsia="Times New Roman" w:cs="Arial"/>
                <w:sz w:val="24"/>
                <w:szCs w:val="24"/>
              </w:rPr>
              <w:t>66</w:t>
            </w:r>
            <w:r w:rsidRPr="004A4349">
              <w:rPr>
                <w:rFonts w:eastAsia="Times New Roman" w:cs="Arial"/>
                <w:sz w:val="24"/>
                <w:szCs w:val="24"/>
              </w:rPr>
              <w:t>,000 is expected (previous forecast £126,000 underspend).  The underspend can be attributed to equipment, including heavy rescue equipment (£</w:t>
            </w:r>
            <w:r w:rsidR="00054A43" w:rsidRPr="004A4349">
              <w:rPr>
                <w:rFonts w:eastAsia="Times New Roman" w:cs="Arial"/>
                <w:sz w:val="24"/>
                <w:szCs w:val="24"/>
              </w:rPr>
              <w:t>188</w:t>
            </w:r>
            <w:r w:rsidRPr="004A4349">
              <w:rPr>
                <w:rFonts w:eastAsia="Times New Roman" w:cs="Arial"/>
                <w:sz w:val="24"/>
                <w:szCs w:val="24"/>
              </w:rPr>
              <w:t>,000), fuel (£4</w:t>
            </w:r>
            <w:r w:rsidR="00571AD9" w:rsidRPr="004A4349">
              <w:rPr>
                <w:rFonts w:eastAsia="Times New Roman" w:cs="Arial"/>
                <w:sz w:val="24"/>
                <w:szCs w:val="24"/>
              </w:rPr>
              <w:t>9</w:t>
            </w:r>
            <w:r w:rsidRPr="004A4349">
              <w:rPr>
                <w:rFonts w:eastAsia="Times New Roman" w:cs="Arial"/>
                <w:sz w:val="24"/>
                <w:szCs w:val="24"/>
              </w:rPr>
              <w:t>,000), staff (£</w:t>
            </w:r>
            <w:r w:rsidR="009138C6" w:rsidRPr="004A4349">
              <w:rPr>
                <w:rFonts w:eastAsia="Times New Roman" w:cs="Arial"/>
                <w:sz w:val="24"/>
                <w:szCs w:val="24"/>
              </w:rPr>
              <w:t>20</w:t>
            </w:r>
            <w:r w:rsidRPr="004A4349">
              <w:rPr>
                <w:rFonts w:eastAsia="Times New Roman" w:cs="Arial"/>
                <w:sz w:val="24"/>
                <w:szCs w:val="24"/>
              </w:rPr>
              <w:t>,000), offset by overspends on vehicle maintenance and repairs (£</w:t>
            </w:r>
            <w:r w:rsidR="00E02724" w:rsidRPr="004A4349">
              <w:rPr>
                <w:rFonts w:eastAsia="Times New Roman" w:cs="Arial"/>
                <w:sz w:val="24"/>
                <w:szCs w:val="24"/>
              </w:rPr>
              <w:t>146</w:t>
            </w:r>
            <w:r w:rsidRPr="004A4349">
              <w:rPr>
                <w:rFonts w:eastAsia="Times New Roman" w:cs="Arial"/>
                <w:sz w:val="24"/>
                <w:szCs w:val="24"/>
              </w:rPr>
              <w:t>,000)</w:t>
            </w:r>
            <w:r w:rsidR="00054A43" w:rsidRPr="004A4349">
              <w:rPr>
                <w:rFonts w:eastAsia="Times New Roman" w:cs="Arial"/>
                <w:sz w:val="24"/>
                <w:szCs w:val="24"/>
              </w:rPr>
              <w:t>, departmental restructuring costs (£43,000)</w:t>
            </w:r>
            <w:r w:rsidRPr="004A4349">
              <w:rPr>
                <w:rFonts w:eastAsia="Times New Roman" w:cs="Arial"/>
                <w:sz w:val="24"/>
                <w:szCs w:val="24"/>
              </w:rPr>
              <w:t xml:space="preserve"> and breathing apparatus (£4,000).  </w:t>
            </w:r>
            <w:r w:rsidR="00E02724" w:rsidRPr="004A4349">
              <w:rPr>
                <w:rFonts w:eastAsia="Times New Roman" w:cs="Arial"/>
                <w:sz w:val="24"/>
                <w:szCs w:val="24"/>
              </w:rPr>
              <w:t>There are small variances across a number of other categories.</w:t>
            </w:r>
          </w:p>
          <w:p w14:paraId="0A7FD308" w14:textId="77777777" w:rsidR="002F5D0A" w:rsidRPr="004A4349" w:rsidRDefault="002F5D0A" w:rsidP="00506216">
            <w:pPr>
              <w:jc w:val="both"/>
              <w:rPr>
                <w:rFonts w:eastAsia="Times New Roman" w:cs="Arial"/>
                <w:sz w:val="24"/>
                <w:szCs w:val="24"/>
              </w:rPr>
            </w:pPr>
          </w:p>
          <w:p w14:paraId="64CF9B77" w14:textId="344C6C63" w:rsidR="002F5D0A" w:rsidRPr="004A4349" w:rsidRDefault="002F5D0A" w:rsidP="00506216">
            <w:pPr>
              <w:jc w:val="both"/>
              <w:rPr>
                <w:rFonts w:eastAsia="Times New Roman" w:cs="Arial"/>
                <w:sz w:val="24"/>
                <w:szCs w:val="24"/>
              </w:rPr>
            </w:pPr>
            <w:r w:rsidRPr="004A4349">
              <w:rPr>
                <w:rFonts w:eastAsia="Times New Roman" w:cs="Arial"/>
                <w:sz w:val="24"/>
                <w:szCs w:val="24"/>
              </w:rPr>
              <w:t xml:space="preserve">The forecast spend has </w:t>
            </w:r>
            <w:r w:rsidR="00E56737" w:rsidRPr="004A4349">
              <w:rPr>
                <w:rFonts w:eastAsia="Times New Roman" w:cs="Arial"/>
                <w:sz w:val="24"/>
                <w:szCs w:val="24"/>
              </w:rPr>
              <w:t>increased</w:t>
            </w:r>
            <w:r w:rsidRPr="004A4349">
              <w:rPr>
                <w:rFonts w:eastAsia="Times New Roman" w:cs="Arial"/>
                <w:sz w:val="24"/>
                <w:szCs w:val="24"/>
              </w:rPr>
              <w:t xml:space="preserve"> by £</w:t>
            </w:r>
            <w:r w:rsidR="009138C6" w:rsidRPr="004A4349">
              <w:rPr>
                <w:rFonts w:eastAsia="Times New Roman" w:cs="Arial"/>
                <w:sz w:val="24"/>
                <w:szCs w:val="24"/>
              </w:rPr>
              <w:t>60</w:t>
            </w:r>
            <w:r w:rsidRPr="004A4349">
              <w:rPr>
                <w:rFonts w:eastAsia="Times New Roman" w:cs="Arial"/>
                <w:sz w:val="24"/>
                <w:szCs w:val="24"/>
              </w:rPr>
              <w:t>,000 since P</w:t>
            </w:r>
            <w:r w:rsidR="00E56737" w:rsidRPr="004A4349">
              <w:rPr>
                <w:rFonts w:eastAsia="Times New Roman" w:cs="Arial"/>
                <w:sz w:val="24"/>
                <w:szCs w:val="24"/>
              </w:rPr>
              <w:t>6</w:t>
            </w:r>
            <w:r w:rsidRPr="004A4349">
              <w:rPr>
                <w:rFonts w:eastAsia="Times New Roman" w:cs="Arial"/>
                <w:sz w:val="24"/>
                <w:szCs w:val="24"/>
              </w:rPr>
              <w:t xml:space="preserve">, </w:t>
            </w:r>
            <w:r w:rsidR="00E02724" w:rsidRPr="004A4349">
              <w:rPr>
                <w:rFonts w:eastAsia="Times New Roman" w:cs="Arial"/>
                <w:sz w:val="24"/>
                <w:szCs w:val="24"/>
              </w:rPr>
              <w:t>this is due to departmental restructuring costs (£43,000), which had previously been expected to be incurred in 2024/25, equipment (£19,000) including the purchase of command support wallets</w:t>
            </w:r>
            <w:r w:rsidR="00414FCA">
              <w:rPr>
                <w:rFonts w:eastAsia="Times New Roman" w:cs="Arial"/>
                <w:sz w:val="24"/>
                <w:szCs w:val="24"/>
              </w:rPr>
              <w:t xml:space="preserve"> and specialist </w:t>
            </w:r>
            <w:proofErr w:type="gramStart"/>
            <w:r w:rsidR="00414FCA">
              <w:rPr>
                <w:rFonts w:eastAsia="Times New Roman" w:cs="Arial"/>
                <w:sz w:val="24"/>
                <w:szCs w:val="24"/>
              </w:rPr>
              <w:t xml:space="preserve">PPE </w:t>
            </w:r>
            <w:r w:rsidR="00E02724" w:rsidRPr="004A4349">
              <w:rPr>
                <w:rFonts w:eastAsia="Times New Roman" w:cs="Arial"/>
                <w:sz w:val="24"/>
                <w:szCs w:val="24"/>
              </w:rPr>
              <w:t>,</w:t>
            </w:r>
            <w:proofErr w:type="gramEnd"/>
            <w:r w:rsidR="00E33670" w:rsidRPr="004A4349">
              <w:rPr>
                <w:rFonts w:eastAsia="Times New Roman" w:cs="Arial"/>
                <w:sz w:val="24"/>
                <w:szCs w:val="24"/>
              </w:rPr>
              <w:t xml:space="preserve"> with a red</w:t>
            </w:r>
            <w:r w:rsidRPr="004A4349">
              <w:rPr>
                <w:rFonts w:eastAsia="Times New Roman" w:cs="Arial"/>
                <w:sz w:val="24"/>
                <w:szCs w:val="24"/>
              </w:rPr>
              <w:t>uction</w:t>
            </w:r>
            <w:r w:rsidR="00E33670" w:rsidRPr="004A4349">
              <w:rPr>
                <w:rFonts w:eastAsia="Times New Roman" w:cs="Arial"/>
                <w:sz w:val="24"/>
                <w:szCs w:val="24"/>
              </w:rPr>
              <w:t xml:space="preserve"> for fuel</w:t>
            </w:r>
            <w:r w:rsidRPr="004A4349">
              <w:rPr>
                <w:rFonts w:eastAsia="Times New Roman" w:cs="Arial"/>
                <w:sz w:val="24"/>
                <w:szCs w:val="24"/>
              </w:rPr>
              <w:t xml:space="preserve"> based on latest prices (£</w:t>
            </w:r>
            <w:r w:rsidR="00E02724" w:rsidRPr="004A4349">
              <w:rPr>
                <w:rFonts w:eastAsia="Times New Roman" w:cs="Arial"/>
                <w:sz w:val="24"/>
                <w:szCs w:val="24"/>
              </w:rPr>
              <w:t>8</w:t>
            </w:r>
            <w:r w:rsidRPr="004A4349">
              <w:rPr>
                <w:rFonts w:eastAsia="Times New Roman" w:cs="Arial"/>
                <w:sz w:val="24"/>
                <w:szCs w:val="24"/>
              </w:rPr>
              <w:t>,000)</w:t>
            </w:r>
            <w:r w:rsidR="00E33670" w:rsidRPr="004A4349">
              <w:rPr>
                <w:rFonts w:eastAsia="Times New Roman" w:cs="Arial"/>
                <w:sz w:val="24"/>
                <w:szCs w:val="24"/>
              </w:rPr>
              <w:t>.  There were a number of other variations where outstanding commitments were reviewed.</w:t>
            </w:r>
            <w:r w:rsidRPr="004A4349">
              <w:rPr>
                <w:rFonts w:eastAsia="Times New Roman" w:cs="Arial"/>
                <w:sz w:val="24"/>
                <w:szCs w:val="24"/>
              </w:rPr>
              <w:t xml:space="preserve"> </w:t>
            </w:r>
          </w:p>
          <w:bookmarkEnd w:id="2"/>
          <w:p w14:paraId="034E9C5F" w14:textId="4A90B144" w:rsidR="002F5D0A" w:rsidRPr="004A4349" w:rsidRDefault="002F5D0A" w:rsidP="00223775">
            <w:pPr>
              <w:jc w:val="both"/>
              <w:rPr>
                <w:rFonts w:eastAsia="Times New Roman" w:cs="Arial"/>
                <w:bCs/>
                <w:sz w:val="24"/>
                <w:szCs w:val="24"/>
              </w:rPr>
            </w:pPr>
          </w:p>
        </w:tc>
      </w:tr>
      <w:tr w:rsidR="002F5D0A" w:rsidRPr="00301D4F" w14:paraId="61832B11" w14:textId="77777777" w:rsidTr="00BF65A0">
        <w:trPr>
          <w:gridAfter w:val="1"/>
          <w:wAfter w:w="249" w:type="dxa"/>
        </w:trPr>
        <w:tc>
          <w:tcPr>
            <w:tcW w:w="885" w:type="dxa"/>
            <w:gridSpan w:val="2"/>
          </w:tcPr>
          <w:p w14:paraId="3C2C526B" w14:textId="6C9302E5" w:rsidR="002F5D0A" w:rsidRPr="000549A9" w:rsidRDefault="002F5D0A" w:rsidP="00573DBD">
            <w:pPr>
              <w:rPr>
                <w:rFonts w:eastAsia="Times New Roman" w:cs="Arial"/>
                <w:bCs/>
                <w:sz w:val="24"/>
                <w:szCs w:val="24"/>
              </w:rPr>
            </w:pPr>
            <w:r w:rsidRPr="000549A9">
              <w:rPr>
                <w:rFonts w:eastAsia="Times New Roman" w:cs="Arial"/>
                <w:bCs/>
                <w:sz w:val="24"/>
                <w:szCs w:val="24"/>
              </w:rPr>
              <w:t>2.</w:t>
            </w:r>
            <w:r w:rsidR="007E060C" w:rsidRPr="000549A9">
              <w:rPr>
                <w:rFonts w:eastAsia="Times New Roman" w:cs="Arial"/>
                <w:bCs/>
                <w:sz w:val="24"/>
                <w:szCs w:val="24"/>
              </w:rPr>
              <w:t>8</w:t>
            </w:r>
            <w:r w:rsidRPr="000549A9">
              <w:rPr>
                <w:rFonts w:eastAsia="Times New Roman" w:cs="Arial"/>
                <w:bCs/>
                <w:sz w:val="24"/>
                <w:szCs w:val="24"/>
              </w:rPr>
              <w:t>.3</w:t>
            </w:r>
          </w:p>
        </w:tc>
        <w:tc>
          <w:tcPr>
            <w:tcW w:w="8931" w:type="dxa"/>
          </w:tcPr>
          <w:p w14:paraId="008074A3" w14:textId="7615BFB2" w:rsidR="002F5D0A" w:rsidRPr="000549A9" w:rsidRDefault="002F5D0A" w:rsidP="00A6658D">
            <w:pPr>
              <w:jc w:val="both"/>
              <w:rPr>
                <w:rFonts w:eastAsia="Times New Roman" w:cs="Arial"/>
                <w:bCs/>
                <w:sz w:val="24"/>
                <w:szCs w:val="24"/>
              </w:rPr>
            </w:pPr>
            <w:r w:rsidRPr="000549A9">
              <w:rPr>
                <w:rFonts w:eastAsia="Times New Roman" w:cs="Arial"/>
                <w:b/>
                <w:sz w:val="24"/>
                <w:szCs w:val="24"/>
              </w:rPr>
              <w:t>Ops P&amp;P:</w:t>
            </w:r>
            <w:r w:rsidRPr="000549A9">
              <w:rPr>
                <w:rFonts w:eastAsia="Times New Roman" w:cs="Arial"/>
                <w:bCs/>
                <w:sz w:val="24"/>
                <w:szCs w:val="24"/>
              </w:rPr>
              <w:t xml:space="preserve"> An overspend of £</w:t>
            </w:r>
            <w:r w:rsidR="009138C6" w:rsidRPr="000549A9">
              <w:rPr>
                <w:rFonts w:eastAsia="Times New Roman" w:cs="Arial"/>
                <w:bCs/>
                <w:sz w:val="24"/>
                <w:szCs w:val="24"/>
              </w:rPr>
              <w:t>38</w:t>
            </w:r>
            <w:r w:rsidRPr="000549A9">
              <w:rPr>
                <w:rFonts w:eastAsia="Times New Roman" w:cs="Arial"/>
                <w:bCs/>
                <w:sz w:val="24"/>
                <w:szCs w:val="24"/>
              </w:rPr>
              <w:t>,000 is expected (previous forecast £63,000 overspend).  The overspend can be attributed to pressures in relation to hydrants (£</w:t>
            </w:r>
            <w:r w:rsidR="00B1110D" w:rsidRPr="000549A9">
              <w:rPr>
                <w:rFonts w:eastAsia="Times New Roman" w:cs="Arial"/>
                <w:bCs/>
                <w:sz w:val="24"/>
                <w:szCs w:val="24"/>
              </w:rPr>
              <w:t>105</w:t>
            </w:r>
            <w:r w:rsidRPr="000549A9">
              <w:rPr>
                <w:rFonts w:eastAsia="Times New Roman" w:cs="Arial"/>
                <w:bCs/>
                <w:sz w:val="24"/>
                <w:szCs w:val="24"/>
              </w:rPr>
              <w:t>,000) and water rescue training (£3,000), offset by vacancies within the department (£</w:t>
            </w:r>
            <w:r w:rsidR="00B1110D" w:rsidRPr="000549A9">
              <w:rPr>
                <w:rFonts w:eastAsia="Times New Roman" w:cs="Arial"/>
                <w:bCs/>
                <w:sz w:val="24"/>
                <w:szCs w:val="24"/>
              </w:rPr>
              <w:t>66</w:t>
            </w:r>
            <w:r w:rsidRPr="000549A9">
              <w:rPr>
                <w:rFonts w:eastAsia="Times New Roman" w:cs="Arial"/>
                <w:bCs/>
                <w:sz w:val="24"/>
                <w:szCs w:val="24"/>
              </w:rPr>
              <w:t xml:space="preserve">,000).  </w:t>
            </w:r>
          </w:p>
          <w:p w14:paraId="5B075313" w14:textId="77777777" w:rsidR="002F5D0A" w:rsidRPr="000549A9" w:rsidRDefault="002F5D0A" w:rsidP="00A6658D">
            <w:pPr>
              <w:jc w:val="both"/>
              <w:rPr>
                <w:rFonts w:eastAsia="Times New Roman" w:cs="Arial"/>
                <w:bCs/>
                <w:sz w:val="24"/>
                <w:szCs w:val="24"/>
              </w:rPr>
            </w:pPr>
          </w:p>
          <w:p w14:paraId="54B0ECB0" w14:textId="18A88181" w:rsidR="000549A9" w:rsidRPr="000549A9" w:rsidRDefault="002F5D0A" w:rsidP="00A6658D">
            <w:pPr>
              <w:jc w:val="both"/>
              <w:rPr>
                <w:rFonts w:eastAsia="Times New Roman" w:cs="Arial"/>
                <w:bCs/>
                <w:sz w:val="24"/>
                <w:szCs w:val="24"/>
              </w:rPr>
            </w:pPr>
            <w:r w:rsidRPr="000549A9">
              <w:rPr>
                <w:rFonts w:eastAsia="Times New Roman" w:cs="Arial"/>
                <w:bCs/>
                <w:sz w:val="24"/>
                <w:szCs w:val="24"/>
              </w:rPr>
              <w:t>The movement since P</w:t>
            </w:r>
            <w:r w:rsidR="00B1110D" w:rsidRPr="000549A9">
              <w:rPr>
                <w:rFonts w:eastAsia="Times New Roman" w:cs="Arial"/>
                <w:bCs/>
                <w:sz w:val="24"/>
                <w:szCs w:val="24"/>
              </w:rPr>
              <w:t>6</w:t>
            </w:r>
            <w:r w:rsidRPr="000549A9">
              <w:rPr>
                <w:rFonts w:eastAsia="Times New Roman" w:cs="Arial"/>
                <w:bCs/>
                <w:sz w:val="24"/>
                <w:szCs w:val="24"/>
              </w:rPr>
              <w:t xml:space="preserve"> can be attributed to</w:t>
            </w:r>
            <w:r w:rsidR="000549A9" w:rsidRPr="000549A9">
              <w:rPr>
                <w:rFonts w:eastAsia="Times New Roman" w:cs="Arial"/>
                <w:bCs/>
                <w:sz w:val="24"/>
                <w:szCs w:val="24"/>
              </w:rPr>
              <w:t xml:space="preserve"> a reduction in staff costs (£38,000), which mainly relates to additional budget provided for the Flexible Resource Pool, offset by an increase on hydrants (£18,000).</w:t>
            </w:r>
          </w:p>
          <w:p w14:paraId="7EAC0671" w14:textId="77777777" w:rsidR="000549A9" w:rsidRPr="000549A9" w:rsidRDefault="000549A9" w:rsidP="00A6658D">
            <w:pPr>
              <w:jc w:val="both"/>
              <w:rPr>
                <w:rFonts w:eastAsia="Times New Roman" w:cs="Arial"/>
                <w:bCs/>
                <w:sz w:val="24"/>
                <w:szCs w:val="24"/>
              </w:rPr>
            </w:pPr>
          </w:p>
          <w:p w14:paraId="2FD2CE34" w14:textId="1A33E5DF" w:rsidR="002F5D0A" w:rsidRPr="000549A9" w:rsidRDefault="002F5D0A" w:rsidP="00A6658D">
            <w:pPr>
              <w:jc w:val="both"/>
              <w:rPr>
                <w:rFonts w:eastAsia="Times New Roman" w:cs="Arial"/>
                <w:bCs/>
                <w:sz w:val="24"/>
                <w:szCs w:val="24"/>
              </w:rPr>
            </w:pPr>
            <w:r w:rsidRPr="000549A9">
              <w:rPr>
                <w:rFonts w:eastAsia="Times New Roman" w:cs="Arial"/>
                <w:bCs/>
                <w:sz w:val="24"/>
                <w:szCs w:val="24"/>
              </w:rPr>
              <w:t>There was a significant peak in spend on hydrants during August (£60,000), which is the reason for the increase in forecast, which is significantly higher than previous years where hydrants have been underspent.  The spend ha</w:t>
            </w:r>
            <w:r w:rsidR="00C303BD">
              <w:rPr>
                <w:rFonts w:eastAsia="Times New Roman" w:cs="Arial"/>
                <w:bCs/>
                <w:sz w:val="24"/>
                <w:szCs w:val="24"/>
              </w:rPr>
              <w:t>d</w:t>
            </w:r>
            <w:r w:rsidRPr="000549A9">
              <w:rPr>
                <w:rFonts w:eastAsia="Times New Roman" w:cs="Arial"/>
                <w:bCs/>
                <w:sz w:val="24"/>
                <w:szCs w:val="24"/>
              </w:rPr>
              <w:t xml:space="preserve"> reduced in </w:t>
            </w:r>
            <w:r w:rsidR="00C303BD" w:rsidRPr="000549A9">
              <w:rPr>
                <w:rFonts w:eastAsia="Times New Roman" w:cs="Arial"/>
                <w:bCs/>
                <w:sz w:val="24"/>
                <w:szCs w:val="24"/>
              </w:rPr>
              <w:t>September but</w:t>
            </w:r>
            <w:r w:rsidR="000549A9" w:rsidRPr="000549A9">
              <w:rPr>
                <w:rFonts w:eastAsia="Times New Roman" w:cs="Arial"/>
                <w:bCs/>
                <w:sz w:val="24"/>
                <w:szCs w:val="24"/>
              </w:rPr>
              <w:t xml:space="preserve"> has risen again since.  T</w:t>
            </w:r>
            <w:r w:rsidRPr="000549A9">
              <w:rPr>
                <w:rFonts w:eastAsia="Times New Roman" w:cs="Arial"/>
                <w:bCs/>
                <w:sz w:val="24"/>
                <w:szCs w:val="24"/>
              </w:rPr>
              <w:t>he team are working to understand the true impact on the revenue budget.</w:t>
            </w:r>
          </w:p>
          <w:p w14:paraId="0B629F3A" w14:textId="2CB88770" w:rsidR="002F5D0A" w:rsidRPr="000549A9" w:rsidRDefault="002F5D0A" w:rsidP="006E7704">
            <w:pPr>
              <w:jc w:val="both"/>
              <w:rPr>
                <w:rFonts w:eastAsia="Times New Roman" w:cs="Arial"/>
                <w:b/>
                <w:sz w:val="24"/>
                <w:szCs w:val="24"/>
              </w:rPr>
            </w:pPr>
          </w:p>
        </w:tc>
      </w:tr>
      <w:tr w:rsidR="002F5D0A" w:rsidRPr="00301D4F" w14:paraId="4F5B5988" w14:textId="77777777" w:rsidTr="00BF65A0">
        <w:trPr>
          <w:gridAfter w:val="1"/>
          <w:wAfter w:w="249" w:type="dxa"/>
        </w:trPr>
        <w:tc>
          <w:tcPr>
            <w:tcW w:w="885" w:type="dxa"/>
            <w:gridSpan w:val="2"/>
          </w:tcPr>
          <w:p w14:paraId="56A945B1" w14:textId="45A3A5BF" w:rsidR="002F5D0A" w:rsidRPr="004A4349" w:rsidRDefault="002F5D0A" w:rsidP="00573DBD">
            <w:pPr>
              <w:rPr>
                <w:rFonts w:eastAsia="Times New Roman" w:cs="Arial"/>
                <w:sz w:val="24"/>
                <w:szCs w:val="24"/>
              </w:rPr>
            </w:pPr>
            <w:r w:rsidRPr="004A4349">
              <w:rPr>
                <w:rFonts w:eastAsia="Times New Roman" w:cs="Arial"/>
                <w:bCs/>
                <w:sz w:val="24"/>
                <w:szCs w:val="24"/>
              </w:rPr>
              <w:t>2.</w:t>
            </w:r>
            <w:r w:rsidR="007E060C">
              <w:rPr>
                <w:rFonts w:eastAsia="Times New Roman" w:cs="Arial"/>
                <w:bCs/>
                <w:sz w:val="24"/>
                <w:szCs w:val="24"/>
              </w:rPr>
              <w:t>8</w:t>
            </w:r>
            <w:r w:rsidRPr="004A4349">
              <w:rPr>
                <w:rFonts w:eastAsia="Times New Roman" w:cs="Arial"/>
                <w:bCs/>
                <w:sz w:val="24"/>
                <w:szCs w:val="24"/>
              </w:rPr>
              <w:t>.4</w:t>
            </w:r>
          </w:p>
        </w:tc>
        <w:tc>
          <w:tcPr>
            <w:tcW w:w="8931" w:type="dxa"/>
          </w:tcPr>
          <w:p w14:paraId="78FE62A4" w14:textId="041FFF0C" w:rsidR="002F5D0A" w:rsidRPr="004A4349" w:rsidRDefault="002F5D0A" w:rsidP="00B06496">
            <w:pPr>
              <w:jc w:val="both"/>
              <w:rPr>
                <w:bCs/>
                <w:sz w:val="24"/>
                <w:szCs w:val="24"/>
              </w:rPr>
            </w:pPr>
            <w:r w:rsidRPr="004A4349">
              <w:rPr>
                <w:b/>
                <w:sz w:val="24"/>
                <w:szCs w:val="24"/>
              </w:rPr>
              <w:t xml:space="preserve">Control Room: </w:t>
            </w:r>
            <w:r w:rsidRPr="004A4349">
              <w:rPr>
                <w:bCs/>
                <w:sz w:val="24"/>
                <w:szCs w:val="24"/>
              </w:rPr>
              <w:t>An overspend of £</w:t>
            </w:r>
            <w:r w:rsidR="00313C53" w:rsidRPr="004A4349">
              <w:rPr>
                <w:bCs/>
                <w:sz w:val="24"/>
                <w:szCs w:val="24"/>
              </w:rPr>
              <w:t>4</w:t>
            </w:r>
            <w:r w:rsidRPr="004A4349">
              <w:rPr>
                <w:bCs/>
                <w:sz w:val="24"/>
                <w:szCs w:val="24"/>
              </w:rPr>
              <w:t>1,000 is expected (previous forecast £101,000 overspend) based on the latest forecast received from Surrey FRS.  The overspend can be attributed to staffing costs and IT systems.</w:t>
            </w:r>
          </w:p>
          <w:p w14:paraId="521B1CD9" w14:textId="77777777" w:rsidR="002F5D0A" w:rsidRPr="004A4349" w:rsidRDefault="002F5D0A" w:rsidP="00B06496">
            <w:pPr>
              <w:jc w:val="both"/>
              <w:rPr>
                <w:bCs/>
                <w:sz w:val="24"/>
                <w:szCs w:val="24"/>
              </w:rPr>
            </w:pPr>
          </w:p>
          <w:p w14:paraId="752E80A1" w14:textId="77777777" w:rsidR="002F5D0A" w:rsidRPr="004A4349" w:rsidRDefault="002F5D0A" w:rsidP="00B06496">
            <w:pPr>
              <w:jc w:val="both"/>
              <w:rPr>
                <w:bCs/>
                <w:sz w:val="24"/>
                <w:szCs w:val="24"/>
              </w:rPr>
            </w:pPr>
            <w:r w:rsidRPr="004A4349">
              <w:rPr>
                <w:bCs/>
                <w:sz w:val="24"/>
                <w:szCs w:val="24"/>
              </w:rPr>
              <w:t xml:space="preserve">Staff costs are higher than budgeted due to overtime, with additional costs for holiday pay and an extra bank holiday.  The reasons for the overtime will be interrogated to determine whether there are controllable factors that can reduce future overtime levels.  It is hoped the recent recruitment of bank staff will help to lower the amount.  </w:t>
            </w:r>
          </w:p>
          <w:p w14:paraId="14098B7D" w14:textId="77777777" w:rsidR="002F5D0A" w:rsidRPr="004A4349" w:rsidRDefault="002F5D0A" w:rsidP="00B06496">
            <w:pPr>
              <w:jc w:val="both"/>
              <w:rPr>
                <w:bCs/>
                <w:sz w:val="24"/>
                <w:szCs w:val="24"/>
              </w:rPr>
            </w:pPr>
          </w:p>
          <w:p w14:paraId="3351418E" w14:textId="77777777" w:rsidR="002F5D0A" w:rsidRPr="004A4349" w:rsidRDefault="002F5D0A" w:rsidP="003478FE">
            <w:pPr>
              <w:jc w:val="both"/>
              <w:rPr>
                <w:bCs/>
                <w:sz w:val="24"/>
                <w:szCs w:val="24"/>
              </w:rPr>
            </w:pPr>
            <w:r w:rsidRPr="004A4349">
              <w:rPr>
                <w:bCs/>
                <w:sz w:val="24"/>
                <w:szCs w:val="24"/>
              </w:rPr>
              <w:t>There is also overspend on IT systems.  Some of the overspend is due to the systems not being included within the budget and part is due to inflationary increases being higher than budgeted.</w:t>
            </w:r>
          </w:p>
          <w:p w14:paraId="4AE5134A" w14:textId="77777777" w:rsidR="00313C53" w:rsidRPr="004A4349" w:rsidRDefault="00313C53" w:rsidP="003478FE">
            <w:pPr>
              <w:jc w:val="both"/>
              <w:rPr>
                <w:bCs/>
                <w:sz w:val="24"/>
                <w:szCs w:val="24"/>
              </w:rPr>
            </w:pPr>
          </w:p>
          <w:p w14:paraId="36E3770F" w14:textId="17051B00" w:rsidR="00313C53" w:rsidRPr="004A4349" w:rsidRDefault="00313C53" w:rsidP="003478FE">
            <w:pPr>
              <w:jc w:val="both"/>
              <w:rPr>
                <w:rFonts w:eastAsia="Times New Roman" w:cs="Arial"/>
                <w:b/>
                <w:sz w:val="24"/>
                <w:szCs w:val="24"/>
              </w:rPr>
            </w:pPr>
            <w:r w:rsidRPr="004A4349">
              <w:rPr>
                <w:bCs/>
                <w:sz w:val="24"/>
                <w:szCs w:val="24"/>
              </w:rPr>
              <w:lastRenderedPageBreak/>
              <w:t>The movement since P6 can be attributed to a reduction in staffing costs (£10,000) and the transfer to mobilising reserve contribution (£50,000) which had been duplicated and is included within transfers to reserves budget.</w:t>
            </w:r>
          </w:p>
        </w:tc>
      </w:tr>
      <w:tr w:rsidR="002F5D0A" w:rsidRPr="00301D4F" w14:paraId="32B9EC55" w14:textId="77777777" w:rsidTr="00BF65A0">
        <w:trPr>
          <w:gridAfter w:val="1"/>
          <w:wAfter w:w="249" w:type="dxa"/>
        </w:trPr>
        <w:tc>
          <w:tcPr>
            <w:tcW w:w="885" w:type="dxa"/>
            <w:gridSpan w:val="2"/>
          </w:tcPr>
          <w:p w14:paraId="5D4BC38D" w14:textId="1E3E55CB" w:rsidR="002F5D0A" w:rsidRPr="004A4349" w:rsidRDefault="002F5D0A" w:rsidP="00573DBD">
            <w:pPr>
              <w:rPr>
                <w:rFonts w:eastAsia="Times New Roman" w:cs="Arial"/>
                <w:sz w:val="24"/>
                <w:szCs w:val="24"/>
              </w:rPr>
            </w:pPr>
          </w:p>
        </w:tc>
        <w:tc>
          <w:tcPr>
            <w:tcW w:w="8931" w:type="dxa"/>
          </w:tcPr>
          <w:p w14:paraId="3E99F0DC" w14:textId="586DFDAC" w:rsidR="002F5D0A" w:rsidRPr="004A4349" w:rsidRDefault="002F5D0A" w:rsidP="006E7704">
            <w:pPr>
              <w:jc w:val="both"/>
              <w:rPr>
                <w:rFonts w:eastAsia="Times New Roman" w:cs="Arial"/>
                <w:bCs/>
                <w:sz w:val="24"/>
                <w:szCs w:val="24"/>
              </w:rPr>
            </w:pPr>
          </w:p>
        </w:tc>
      </w:tr>
      <w:tr w:rsidR="002F5D0A" w:rsidRPr="00301D4F" w14:paraId="171C2447" w14:textId="77777777" w:rsidTr="00BF65A0">
        <w:trPr>
          <w:gridAfter w:val="1"/>
          <w:wAfter w:w="249" w:type="dxa"/>
        </w:trPr>
        <w:tc>
          <w:tcPr>
            <w:tcW w:w="885" w:type="dxa"/>
            <w:gridSpan w:val="2"/>
          </w:tcPr>
          <w:p w14:paraId="3FEDA500" w14:textId="3D4703C4" w:rsidR="002F5D0A" w:rsidRPr="004A4349" w:rsidRDefault="002F5D0A" w:rsidP="00573DBD">
            <w:pPr>
              <w:rPr>
                <w:rFonts w:eastAsia="Times New Roman" w:cs="Arial"/>
                <w:sz w:val="24"/>
                <w:szCs w:val="24"/>
              </w:rPr>
            </w:pPr>
            <w:r w:rsidRPr="004A4349">
              <w:rPr>
                <w:rFonts w:eastAsia="Times New Roman" w:cs="Arial"/>
                <w:bCs/>
                <w:sz w:val="24"/>
                <w:szCs w:val="24"/>
              </w:rPr>
              <w:t>2.</w:t>
            </w:r>
            <w:r w:rsidR="007E060C">
              <w:rPr>
                <w:rFonts w:eastAsia="Times New Roman" w:cs="Arial"/>
                <w:bCs/>
                <w:sz w:val="24"/>
                <w:szCs w:val="24"/>
              </w:rPr>
              <w:t>9</w:t>
            </w:r>
          </w:p>
        </w:tc>
        <w:tc>
          <w:tcPr>
            <w:tcW w:w="8931" w:type="dxa"/>
          </w:tcPr>
          <w:p w14:paraId="1C89BE59" w14:textId="0E001BE4" w:rsidR="002F5D0A" w:rsidRPr="004A4349" w:rsidRDefault="002F5D0A" w:rsidP="00652BDE">
            <w:pPr>
              <w:jc w:val="both"/>
              <w:rPr>
                <w:rFonts w:eastAsia="Times New Roman" w:cs="Arial"/>
                <w:bCs/>
                <w:sz w:val="24"/>
                <w:szCs w:val="24"/>
              </w:rPr>
            </w:pPr>
            <w:r w:rsidRPr="004A4349">
              <w:rPr>
                <w:rFonts w:eastAsia="Times New Roman" w:cs="Arial"/>
                <w:b/>
                <w:sz w:val="24"/>
                <w:szCs w:val="24"/>
              </w:rPr>
              <w:t xml:space="preserve">CFO: </w:t>
            </w:r>
            <w:r w:rsidRPr="004A4349">
              <w:rPr>
                <w:rFonts w:eastAsia="Times New Roman" w:cs="Arial"/>
                <w:bCs/>
                <w:sz w:val="24"/>
                <w:szCs w:val="24"/>
              </w:rPr>
              <w:t>An overspend of £</w:t>
            </w:r>
            <w:r w:rsidR="009138C6" w:rsidRPr="004A4349">
              <w:rPr>
                <w:rFonts w:eastAsia="Times New Roman" w:cs="Arial"/>
                <w:bCs/>
                <w:sz w:val="24"/>
                <w:szCs w:val="24"/>
              </w:rPr>
              <w:t>37</w:t>
            </w:r>
            <w:r w:rsidRPr="004A4349">
              <w:rPr>
                <w:rFonts w:eastAsia="Times New Roman" w:cs="Arial"/>
                <w:bCs/>
                <w:sz w:val="24"/>
                <w:szCs w:val="24"/>
              </w:rPr>
              <w:t>,000 is expected (previous forecast £38,000 overspend).  Overspend of £44,000 relates pay and is mainly due to the gold book pay award backdated to 1 January 2022.   Additionally underspend of £</w:t>
            </w:r>
            <w:r w:rsidR="007E79F4" w:rsidRPr="004A4349">
              <w:rPr>
                <w:rFonts w:eastAsia="Times New Roman" w:cs="Arial"/>
                <w:bCs/>
                <w:sz w:val="24"/>
                <w:szCs w:val="24"/>
              </w:rPr>
              <w:t>9</w:t>
            </w:r>
            <w:r w:rsidRPr="004A4349">
              <w:rPr>
                <w:rFonts w:eastAsia="Times New Roman" w:cs="Arial"/>
                <w:bCs/>
                <w:sz w:val="24"/>
                <w:szCs w:val="24"/>
              </w:rPr>
              <w:t>,000 is expected across a number of non-pay budgets.</w:t>
            </w:r>
          </w:p>
          <w:p w14:paraId="6B581DD1" w14:textId="77777777" w:rsidR="002F5D0A" w:rsidRPr="004A4349" w:rsidRDefault="002F5D0A" w:rsidP="00DC0A3E">
            <w:pPr>
              <w:rPr>
                <w:rFonts w:eastAsia="Times New Roman" w:cs="Arial"/>
                <w:bCs/>
                <w:sz w:val="24"/>
                <w:szCs w:val="24"/>
              </w:rPr>
            </w:pPr>
          </w:p>
          <w:p w14:paraId="1ADFCF30" w14:textId="28116FC2" w:rsidR="002F5D0A" w:rsidRPr="004A4349" w:rsidRDefault="002F5D0A" w:rsidP="00487E4C">
            <w:pPr>
              <w:jc w:val="both"/>
              <w:rPr>
                <w:rFonts w:eastAsia="Times New Roman" w:cs="Arial"/>
                <w:b/>
                <w:sz w:val="24"/>
                <w:szCs w:val="24"/>
              </w:rPr>
            </w:pPr>
            <w:r w:rsidRPr="004A4349">
              <w:rPr>
                <w:rFonts w:eastAsia="Times New Roman" w:cs="Arial"/>
                <w:bCs/>
                <w:sz w:val="24"/>
                <w:szCs w:val="24"/>
              </w:rPr>
              <w:t>The movement since P</w:t>
            </w:r>
            <w:r w:rsidR="007E79F4" w:rsidRPr="004A4349">
              <w:rPr>
                <w:rFonts w:eastAsia="Times New Roman" w:cs="Arial"/>
                <w:bCs/>
                <w:sz w:val="24"/>
                <w:szCs w:val="24"/>
              </w:rPr>
              <w:t>6</w:t>
            </w:r>
            <w:r w:rsidRPr="004A4349">
              <w:rPr>
                <w:rFonts w:eastAsia="Times New Roman" w:cs="Arial"/>
                <w:bCs/>
                <w:sz w:val="24"/>
                <w:szCs w:val="24"/>
              </w:rPr>
              <w:t xml:space="preserve"> can be attributed to a review of non-pay budgets.</w:t>
            </w:r>
          </w:p>
        </w:tc>
      </w:tr>
      <w:tr w:rsidR="002F5D0A" w:rsidRPr="00301D4F" w14:paraId="1A4FD3CC" w14:textId="77777777" w:rsidTr="00BF65A0">
        <w:trPr>
          <w:gridAfter w:val="1"/>
          <w:wAfter w:w="249" w:type="dxa"/>
        </w:trPr>
        <w:tc>
          <w:tcPr>
            <w:tcW w:w="885" w:type="dxa"/>
            <w:gridSpan w:val="2"/>
          </w:tcPr>
          <w:p w14:paraId="755E7B89" w14:textId="05852309" w:rsidR="002F5D0A" w:rsidRPr="00301D4F" w:rsidRDefault="002F5D0A" w:rsidP="00573DBD">
            <w:pPr>
              <w:rPr>
                <w:rFonts w:eastAsia="Times New Roman" w:cs="Arial"/>
                <w:sz w:val="24"/>
                <w:szCs w:val="24"/>
                <w:highlight w:val="yellow"/>
              </w:rPr>
            </w:pPr>
          </w:p>
        </w:tc>
        <w:tc>
          <w:tcPr>
            <w:tcW w:w="8931" w:type="dxa"/>
          </w:tcPr>
          <w:p w14:paraId="44B62254" w14:textId="5F9DB86E" w:rsidR="002F5D0A" w:rsidRPr="00301D4F" w:rsidRDefault="002F5D0A" w:rsidP="002903CC">
            <w:pPr>
              <w:jc w:val="both"/>
              <w:rPr>
                <w:rFonts w:eastAsia="Times New Roman" w:cs="Arial"/>
                <w:b/>
                <w:sz w:val="24"/>
                <w:szCs w:val="24"/>
                <w:highlight w:val="yellow"/>
              </w:rPr>
            </w:pPr>
          </w:p>
        </w:tc>
      </w:tr>
      <w:tr w:rsidR="002F5D0A" w:rsidRPr="00301D4F" w14:paraId="0916E965" w14:textId="77777777" w:rsidTr="00BF65A0">
        <w:trPr>
          <w:gridAfter w:val="1"/>
          <w:wAfter w:w="249" w:type="dxa"/>
        </w:trPr>
        <w:tc>
          <w:tcPr>
            <w:tcW w:w="885" w:type="dxa"/>
            <w:gridSpan w:val="2"/>
          </w:tcPr>
          <w:p w14:paraId="662AA8FB" w14:textId="1718E525" w:rsidR="002F5D0A" w:rsidRPr="00301D4F" w:rsidRDefault="002F5D0A" w:rsidP="00573DBD">
            <w:pPr>
              <w:rPr>
                <w:rFonts w:eastAsia="Times New Roman" w:cs="Arial"/>
                <w:sz w:val="24"/>
                <w:szCs w:val="24"/>
                <w:highlight w:val="yellow"/>
              </w:rPr>
            </w:pPr>
            <w:r w:rsidRPr="00461ACF">
              <w:rPr>
                <w:rFonts w:eastAsia="Times New Roman" w:cs="Arial"/>
                <w:bCs/>
                <w:sz w:val="24"/>
                <w:szCs w:val="24"/>
              </w:rPr>
              <w:t>2.</w:t>
            </w:r>
            <w:r w:rsidR="007E060C">
              <w:rPr>
                <w:rFonts w:eastAsia="Times New Roman" w:cs="Arial"/>
                <w:bCs/>
                <w:sz w:val="24"/>
                <w:szCs w:val="24"/>
              </w:rPr>
              <w:t>10</w:t>
            </w:r>
          </w:p>
        </w:tc>
        <w:tc>
          <w:tcPr>
            <w:tcW w:w="8931" w:type="dxa"/>
          </w:tcPr>
          <w:p w14:paraId="1D2FCB5A" w14:textId="7D5890DB" w:rsidR="002F5D0A" w:rsidRPr="00461ACF" w:rsidRDefault="002F5D0A" w:rsidP="00A6658D">
            <w:pPr>
              <w:jc w:val="both"/>
              <w:rPr>
                <w:rFonts w:eastAsia="Times New Roman" w:cs="Arial"/>
                <w:sz w:val="24"/>
                <w:szCs w:val="24"/>
              </w:rPr>
            </w:pPr>
            <w:r w:rsidRPr="00461ACF">
              <w:rPr>
                <w:rFonts w:eastAsia="Times New Roman" w:cs="Arial"/>
                <w:b/>
                <w:sz w:val="24"/>
                <w:szCs w:val="24"/>
              </w:rPr>
              <w:t>Treasury Management</w:t>
            </w:r>
            <w:r w:rsidRPr="00461ACF">
              <w:rPr>
                <w:rFonts w:eastAsia="Times New Roman" w:cs="Arial"/>
                <w:sz w:val="24"/>
                <w:szCs w:val="24"/>
              </w:rPr>
              <w:t>: This budget is reporting an underspend of £</w:t>
            </w:r>
            <w:r w:rsidR="00313C53">
              <w:rPr>
                <w:rFonts w:eastAsia="Times New Roman" w:cs="Arial"/>
                <w:sz w:val="24"/>
                <w:szCs w:val="24"/>
              </w:rPr>
              <w:t>723</w:t>
            </w:r>
            <w:r w:rsidRPr="00461ACF">
              <w:rPr>
                <w:rFonts w:eastAsia="Times New Roman" w:cs="Arial"/>
                <w:sz w:val="24"/>
                <w:szCs w:val="24"/>
              </w:rPr>
              <w:t>,000 (previous forecast £573,000 underspend).  The interest receivable for cash investments is expected to overachieve by £6</w:t>
            </w:r>
            <w:r w:rsidR="00313C53">
              <w:rPr>
                <w:rFonts w:eastAsia="Times New Roman" w:cs="Arial"/>
                <w:sz w:val="24"/>
                <w:szCs w:val="24"/>
              </w:rPr>
              <w:t>5</w:t>
            </w:r>
            <w:r w:rsidRPr="00461ACF">
              <w:rPr>
                <w:rFonts w:eastAsia="Times New Roman" w:cs="Arial"/>
                <w:sz w:val="24"/>
                <w:szCs w:val="24"/>
              </w:rPr>
              <w:t xml:space="preserve">0,000 due to rising interest rates, with further underspends of £70,000 on interest payable and £2,000 on MRP due to slippage of the capital programme. </w:t>
            </w:r>
          </w:p>
          <w:p w14:paraId="4D98F7B6" w14:textId="77777777" w:rsidR="002F5D0A" w:rsidRPr="00461ACF" w:rsidRDefault="002F5D0A" w:rsidP="00A6658D">
            <w:pPr>
              <w:jc w:val="both"/>
              <w:rPr>
                <w:rFonts w:eastAsia="Times New Roman" w:cs="Arial"/>
                <w:sz w:val="24"/>
                <w:szCs w:val="24"/>
              </w:rPr>
            </w:pPr>
          </w:p>
          <w:p w14:paraId="0063EDEB" w14:textId="04382CF8" w:rsidR="002F5D0A" w:rsidRPr="00461ACF" w:rsidRDefault="002F5D0A" w:rsidP="007E7F00">
            <w:pPr>
              <w:jc w:val="both"/>
              <w:rPr>
                <w:rFonts w:eastAsia="Times New Roman" w:cs="Arial"/>
                <w:sz w:val="24"/>
                <w:szCs w:val="24"/>
              </w:rPr>
            </w:pPr>
            <w:r w:rsidRPr="00461ACF">
              <w:rPr>
                <w:rFonts w:eastAsia="Times New Roman" w:cs="Arial"/>
                <w:sz w:val="24"/>
                <w:szCs w:val="24"/>
              </w:rPr>
              <w:t>The movement since P6 can be attributed to additional interest receivable of £1</w:t>
            </w:r>
            <w:r w:rsidR="00313C53">
              <w:rPr>
                <w:rFonts w:eastAsia="Times New Roman" w:cs="Arial"/>
                <w:sz w:val="24"/>
                <w:szCs w:val="24"/>
              </w:rPr>
              <w:t>5</w:t>
            </w:r>
            <w:r w:rsidRPr="00461ACF">
              <w:rPr>
                <w:rFonts w:eastAsia="Times New Roman" w:cs="Arial"/>
                <w:sz w:val="24"/>
                <w:szCs w:val="24"/>
              </w:rPr>
              <w:t>0,000 being forecast.</w:t>
            </w:r>
          </w:p>
          <w:p w14:paraId="0DA18924" w14:textId="074E4439" w:rsidR="002F5D0A" w:rsidRPr="00301D4F" w:rsidRDefault="002F5D0A" w:rsidP="00A6658D">
            <w:pPr>
              <w:jc w:val="both"/>
              <w:rPr>
                <w:rFonts w:eastAsia="Times New Roman" w:cs="Arial"/>
                <w:b/>
                <w:sz w:val="24"/>
                <w:szCs w:val="24"/>
                <w:highlight w:val="yellow"/>
              </w:rPr>
            </w:pPr>
          </w:p>
        </w:tc>
      </w:tr>
      <w:tr w:rsidR="002F5D0A" w:rsidRPr="00301D4F" w14:paraId="142411B9" w14:textId="77777777" w:rsidTr="00BF65A0">
        <w:trPr>
          <w:gridAfter w:val="1"/>
          <w:wAfter w:w="249" w:type="dxa"/>
        </w:trPr>
        <w:tc>
          <w:tcPr>
            <w:tcW w:w="885" w:type="dxa"/>
            <w:gridSpan w:val="2"/>
          </w:tcPr>
          <w:p w14:paraId="46C3E9A5" w14:textId="4BF281DA" w:rsidR="002F5D0A" w:rsidRPr="0086173B" w:rsidRDefault="002F5D0A" w:rsidP="00573DBD">
            <w:pPr>
              <w:rPr>
                <w:rFonts w:eastAsia="Times New Roman" w:cs="Arial"/>
                <w:bCs/>
                <w:sz w:val="24"/>
                <w:szCs w:val="24"/>
              </w:rPr>
            </w:pPr>
            <w:r w:rsidRPr="0086173B">
              <w:rPr>
                <w:rFonts w:eastAsia="Times New Roman" w:cs="Arial"/>
                <w:bCs/>
                <w:sz w:val="24"/>
                <w:szCs w:val="24"/>
              </w:rPr>
              <w:t>2.</w:t>
            </w:r>
            <w:r w:rsidR="007E060C">
              <w:rPr>
                <w:rFonts w:eastAsia="Times New Roman" w:cs="Arial"/>
                <w:bCs/>
                <w:sz w:val="24"/>
                <w:szCs w:val="24"/>
              </w:rPr>
              <w:t>11</w:t>
            </w:r>
          </w:p>
        </w:tc>
        <w:tc>
          <w:tcPr>
            <w:tcW w:w="8931" w:type="dxa"/>
          </w:tcPr>
          <w:p w14:paraId="118A3C0E" w14:textId="7EA0B241" w:rsidR="002F5D0A" w:rsidRPr="0086173B" w:rsidRDefault="002F5D0A" w:rsidP="00A6658D">
            <w:pPr>
              <w:jc w:val="both"/>
              <w:rPr>
                <w:rFonts w:eastAsia="Times New Roman" w:cs="Arial"/>
                <w:bCs/>
                <w:sz w:val="24"/>
                <w:szCs w:val="24"/>
              </w:rPr>
            </w:pPr>
            <w:r w:rsidRPr="0086173B">
              <w:rPr>
                <w:rFonts w:eastAsia="Times New Roman" w:cs="Arial"/>
                <w:b/>
                <w:sz w:val="24"/>
                <w:szCs w:val="24"/>
              </w:rPr>
              <w:t xml:space="preserve">Non-Delegated Costs: </w:t>
            </w:r>
            <w:r w:rsidRPr="0086173B">
              <w:rPr>
                <w:rFonts w:eastAsia="Times New Roman" w:cs="Arial"/>
                <w:bCs/>
                <w:sz w:val="24"/>
                <w:szCs w:val="24"/>
              </w:rPr>
              <w:t>An overspend of £27</w:t>
            </w:r>
            <w:r w:rsidR="00847386" w:rsidRPr="0086173B">
              <w:rPr>
                <w:rFonts w:eastAsia="Times New Roman" w:cs="Arial"/>
                <w:bCs/>
                <w:sz w:val="24"/>
                <w:szCs w:val="24"/>
              </w:rPr>
              <w:t>5</w:t>
            </w:r>
            <w:r w:rsidRPr="0086173B">
              <w:rPr>
                <w:rFonts w:eastAsia="Times New Roman" w:cs="Arial"/>
                <w:bCs/>
                <w:sz w:val="24"/>
                <w:szCs w:val="24"/>
              </w:rPr>
              <w:t xml:space="preserve">,000 is expected (previous forecast £139,000 overspend).  </w:t>
            </w:r>
            <w:r w:rsidR="00FC0D1B" w:rsidRPr="0086173B">
              <w:rPr>
                <w:rFonts w:eastAsia="Times New Roman" w:cs="Arial"/>
                <w:bCs/>
                <w:sz w:val="24"/>
                <w:szCs w:val="24"/>
              </w:rPr>
              <w:t>The overspend is attributable to ill health retirements (£137,000), unfunded pension costs (</w:t>
            </w:r>
            <w:r w:rsidRPr="0086173B">
              <w:rPr>
                <w:rFonts w:eastAsia="Times New Roman" w:cs="Arial"/>
                <w:bCs/>
                <w:sz w:val="24"/>
                <w:szCs w:val="24"/>
              </w:rPr>
              <w:t>£73,000</w:t>
            </w:r>
            <w:r w:rsidR="00FC0D1B" w:rsidRPr="0086173B">
              <w:rPr>
                <w:rFonts w:eastAsia="Times New Roman" w:cs="Arial"/>
                <w:bCs/>
                <w:sz w:val="24"/>
                <w:szCs w:val="24"/>
              </w:rPr>
              <w:t xml:space="preserve">) and unachieved procurement savings (£66,000) where it has not been possible to allocate against service budgets. </w:t>
            </w:r>
            <w:r w:rsidRPr="0086173B">
              <w:rPr>
                <w:rFonts w:eastAsia="Times New Roman" w:cs="Arial"/>
                <w:bCs/>
                <w:sz w:val="24"/>
                <w:szCs w:val="24"/>
              </w:rPr>
              <w:t xml:space="preserve"> Other small variances within non-delegated offset one another.</w:t>
            </w:r>
          </w:p>
          <w:p w14:paraId="7F2EAB4A" w14:textId="77777777" w:rsidR="002F5D0A" w:rsidRPr="0086173B" w:rsidRDefault="002F5D0A" w:rsidP="00A6658D">
            <w:pPr>
              <w:jc w:val="both"/>
              <w:rPr>
                <w:rFonts w:eastAsia="Times New Roman" w:cs="Arial"/>
                <w:bCs/>
                <w:sz w:val="24"/>
                <w:szCs w:val="24"/>
              </w:rPr>
            </w:pPr>
          </w:p>
          <w:p w14:paraId="3C6E3DA7" w14:textId="392F7D40" w:rsidR="002F5D0A" w:rsidRPr="0086173B" w:rsidRDefault="000777AD" w:rsidP="00A6658D">
            <w:pPr>
              <w:jc w:val="both"/>
              <w:rPr>
                <w:rFonts w:eastAsia="Times New Roman" w:cs="Arial"/>
                <w:bCs/>
                <w:sz w:val="24"/>
                <w:szCs w:val="24"/>
              </w:rPr>
            </w:pPr>
            <w:r w:rsidRPr="0086173B">
              <w:rPr>
                <w:rFonts w:eastAsia="Times New Roman" w:cs="Arial"/>
                <w:bCs/>
                <w:sz w:val="24"/>
                <w:szCs w:val="24"/>
              </w:rPr>
              <w:t>The movement from P6 relates to ill health retirements, with anticipated future retirements now included within the forecast.  If the retirements do not happen before 31 March 2024 this will impact the outturn position.</w:t>
            </w:r>
            <w:r w:rsidR="00C07D2C" w:rsidRPr="0086173B">
              <w:rPr>
                <w:rFonts w:eastAsia="Times New Roman" w:cs="Arial"/>
                <w:bCs/>
                <w:sz w:val="24"/>
                <w:szCs w:val="24"/>
              </w:rPr>
              <w:t xml:space="preserve"> </w:t>
            </w:r>
            <w:r w:rsidR="002F5D0A" w:rsidRPr="0086173B">
              <w:rPr>
                <w:rFonts w:eastAsia="Times New Roman" w:cs="Arial"/>
                <w:bCs/>
                <w:sz w:val="24"/>
                <w:szCs w:val="24"/>
              </w:rPr>
              <w:t>The position will continue to be monitored with HR as the year progresses.</w:t>
            </w:r>
          </w:p>
          <w:p w14:paraId="6C400E9A" w14:textId="77777777" w:rsidR="002F5D0A" w:rsidRPr="0086173B" w:rsidRDefault="002F5D0A" w:rsidP="00A6658D">
            <w:pPr>
              <w:jc w:val="both"/>
              <w:rPr>
                <w:rFonts w:eastAsia="Times New Roman" w:cs="Arial"/>
                <w:bCs/>
                <w:sz w:val="24"/>
                <w:szCs w:val="24"/>
              </w:rPr>
            </w:pPr>
          </w:p>
          <w:p w14:paraId="707D091A" w14:textId="0366BC14" w:rsidR="002F5D0A" w:rsidRPr="0086173B" w:rsidRDefault="002F5D0A" w:rsidP="00A6658D">
            <w:pPr>
              <w:jc w:val="both"/>
              <w:rPr>
                <w:rFonts w:eastAsia="Times New Roman" w:cs="Arial"/>
                <w:bCs/>
                <w:sz w:val="24"/>
                <w:szCs w:val="24"/>
              </w:rPr>
            </w:pPr>
            <w:r w:rsidRPr="0086173B">
              <w:rPr>
                <w:rFonts w:eastAsia="Times New Roman" w:cs="Arial"/>
                <w:bCs/>
                <w:sz w:val="24"/>
                <w:szCs w:val="24"/>
              </w:rPr>
              <w:t xml:space="preserve">The non-delegated budget includes the </w:t>
            </w:r>
            <w:r w:rsidR="00313C53" w:rsidRPr="0086173B">
              <w:rPr>
                <w:rFonts w:eastAsia="Times New Roman" w:cs="Arial"/>
                <w:bCs/>
                <w:sz w:val="24"/>
                <w:szCs w:val="24"/>
              </w:rPr>
              <w:t xml:space="preserve">remainder of the </w:t>
            </w:r>
            <w:r w:rsidRPr="0086173B">
              <w:rPr>
                <w:rFonts w:eastAsia="Times New Roman" w:cs="Arial"/>
                <w:bCs/>
                <w:sz w:val="24"/>
                <w:szCs w:val="24"/>
              </w:rPr>
              <w:t xml:space="preserve">Workforce transition budget </w:t>
            </w:r>
            <w:r w:rsidR="00847386" w:rsidRPr="0086173B">
              <w:rPr>
                <w:rFonts w:eastAsia="Times New Roman" w:cs="Arial"/>
                <w:bCs/>
                <w:sz w:val="24"/>
                <w:szCs w:val="24"/>
              </w:rPr>
              <w:t>at</w:t>
            </w:r>
            <w:r w:rsidRPr="0086173B">
              <w:rPr>
                <w:rFonts w:eastAsia="Times New Roman" w:cs="Arial"/>
                <w:bCs/>
                <w:sz w:val="24"/>
                <w:szCs w:val="24"/>
              </w:rPr>
              <w:t xml:space="preserve"> £</w:t>
            </w:r>
            <w:r w:rsidR="00C07D2C" w:rsidRPr="0086173B">
              <w:rPr>
                <w:rFonts w:eastAsia="Times New Roman" w:cs="Arial"/>
                <w:bCs/>
                <w:sz w:val="24"/>
                <w:szCs w:val="24"/>
              </w:rPr>
              <w:t>77</w:t>
            </w:r>
            <w:r w:rsidRPr="0086173B">
              <w:rPr>
                <w:rFonts w:eastAsia="Times New Roman" w:cs="Arial"/>
                <w:bCs/>
                <w:sz w:val="24"/>
                <w:szCs w:val="24"/>
              </w:rPr>
              <w:t>,000.  This is currently forecast to budget.  At this stage a total of £</w:t>
            </w:r>
            <w:r w:rsidR="00FC0D1B" w:rsidRPr="0086173B">
              <w:rPr>
                <w:rFonts w:eastAsia="Times New Roman" w:cs="Arial"/>
                <w:bCs/>
                <w:sz w:val="24"/>
                <w:szCs w:val="24"/>
              </w:rPr>
              <w:t>18</w:t>
            </w:r>
            <w:r w:rsidRPr="0086173B">
              <w:rPr>
                <w:rFonts w:eastAsia="Times New Roman" w:cs="Arial"/>
                <w:bCs/>
                <w:sz w:val="24"/>
                <w:szCs w:val="24"/>
              </w:rPr>
              <w:t>,</w:t>
            </w:r>
            <w:r w:rsidR="00FC0D1B" w:rsidRPr="0086173B">
              <w:rPr>
                <w:rFonts w:eastAsia="Times New Roman" w:cs="Arial"/>
                <w:bCs/>
                <w:sz w:val="24"/>
                <w:szCs w:val="24"/>
              </w:rPr>
              <w:t>925</w:t>
            </w:r>
            <w:r w:rsidRPr="0086173B">
              <w:rPr>
                <w:rFonts w:eastAsia="Times New Roman" w:cs="Arial"/>
                <w:bCs/>
                <w:sz w:val="24"/>
                <w:szCs w:val="24"/>
              </w:rPr>
              <w:t xml:space="preserve"> has been committed for 2023/24, this covers:</w:t>
            </w:r>
          </w:p>
          <w:p w14:paraId="494C08BE" w14:textId="77777777" w:rsidR="002F5D0A" w:rsidRPr="0086173B" w:rsidRDefault="002F5D0A" w:rsidP="003807FF">
            <w:pPr>
              <w:pStyle w:val="ListParagraph"/>
              <w:numPr>
                <w:ilvl w:val="0"/>
                <w:numId w:val="23"/>
              </w:numPr>
              <w:jc w:val="both"/>
              <w:rPr>
                <w:rFonts w:eastAsia="Times New Roman" w:cs="Arial"/>
                <w:bCs/>
                <w:sz w:val="24"/>
                <w:szCs w:val="24"/>
              </w:rPr>
            </w:pPr>
            <w:r w:rsidRPr="0086173B">
              <w:rPr>
                <w:rFonts w:eastAsia="Times New Roman" w:cs="Arial"/>
                <w:bCs/>
                <w:sz w:val="24"/>
                <w:szCs w:val="24"/>
              </w:rPr>
              <w:t>£16,000 – Benenden trial</w:t>
            </w:r>
          </w:p>
          <w:p w14:paraId="04F84894" w14:textId="50B67C6B" w:rsidR="002F5D0A" w:rsidRPr="0086173B" w:rsidRDefault="002F5D0A" w:rsidP="003807FF">
            <w:pPr>
              <w:pStyle w:val="ListParagraph"/>
              <w:numPr>
                <w:ilvl w:val="0"/>
                <w:numId w:val="23"/>
              </w:numPr>
              <w:jc w:val="both"/>
              <w:rPr>
                <w:rFonts w:eastAsia="Times New Roman" w:cs="Arial"/>
                <w:bCs/>
                <w:sz w:val="24"/>
                <w:szCs w:val="24"/>
              </w:rPr>
            </w:pPr>
            <w:r w:rsidRPr="0086173B">
              <w:rPr>
                <w:rFonts w:eastAsia="Times New Roman" w:cs="Arial"/>
                <w:bCs/>
                <w:sz w:val="24"/>
                <w:szCs w:val="24"/>
              </w:rPr>
              <w:t>£</w:t>
            </w:r>
            <w:r w:rsidR="00FC0D1B" w:rsidRPr="0086173B">
              <w:rPr>
                <w:rFonts w:eastAsia="Times New Roman" w:cs="Arial"/>
                <w:bCs/>
                <w:sz w:val="24"/>
                <w:szCs w:val="24"/>
              </w:rPr>
              <w:t>2,600</w:t>
            </w:r>
            <w:r w:rsidRPr="0086173B">
              <w:rPr>
                <w:rFonts w:eastAsia="Times New Roman" w:cs="Arial"/>
                <w:bCs/>
                <w:sz w:val="24"/>
                <w:szCs w:val="24"/>
              </w:rPr>
              <w:t xml:space="preserve"> – DBS checks</w:t>
            </w:r>
          </w:p>
          <w:p w14:paraId="10689F63" w14:textId="77777777" w:rsidR="002F5D0A" w:rsidRPr="0086173B" w:rsidRDefault="002F5D0A" w:rsidP="003807FF">
            <w:pPr>
              <w:pStyle w:val="ListParagraph"/>
              <w:numPr>
                <w:ilvl w:val="0"/>
                <w:numId w:val="23"/>
              </w:numPr>
              <w:jc w:val="both"/>
              <w:rPr>
                <w:rFonts w:eastAsia="Times New Roman" w:cs="Arial"/>
                <w:bCs/>
                <w:sz w:val="24"/>
                <w:szCs w:val="24"/>
              </w:rPr>
            </w:pPr>
            <w:r w:rsidRPr="0086173B">
              <w:rPr>
                <w:rFonts w:eastAsia="Times New Roman" w:cs="Arial"/>
                <w:bCs/>
                <w:sz w:val="24"/>
                <w:szCs w:val="24"/>
              </w:rPr>
              <w:t xml:space="preserve">£325 – </w:t>
            </w:r>
            <w:proofErr w:type="gramStart"/>
            <w:r w:rsidRPr="0086173B">
              <w:rPr>
                <w:rFonts w:eastAsia="Times New Roman" w:cs="Arial"/>
                <w:bCs/>
                <w:sz w:val="24"/>
                <w:szCs w:val="24"/>
              </w:rPr>
              <w:t>360 degree</w:t>
            </w:r>
            <w:proofErr w:type="gramEnd"/>
            <w:r w:rsidRPr="0086173B">
              <w:rPr>
                <w:rFonts w:eastAsia="Times New Roman" w:cs="Arial"/>
                <w:bCs/>
                <w:sz w:val="24"/>
                <w:szCs w:val="24"/>
              </w:rPr>
              <w:t xml:space="preserve"> feedback </w:t>
            </w:r>
          </w:p>
          <w:p w14:paraId="0D0F0D14" w14:textId="77777777" w:rsidR="00847386" w:rsidRPr="0086173B" w:rsidRDefault="00847386" w:rsidP="00847386">
            <w:pPr>
              <w:pStyle w:val="ListParagraph"/>
              <w:ind w:left="791"/>
              <w:jc w:val="both"/>
              <w:rPr>
                <w:rFonts w:eastAsia="Times New Roman" w:cs="Arial"/>
                <w:bCs/>
                <w:sz w:val="24"/>
                <w:szCs w:val="24"/>
              </w:rPr>
            </w:pPr>
          </w:p>
          <w:p w14:paraId="0D6E0CF7" w14:textId="30027998" w:rsidR="00434FA3" w:rsidRPr="0086173B" w:rsidRDefault="00FC0D1B" w:rsidP="00FC0D1B">
            <w:pPr>
              <w:jc w:val="both"/>
              <w:rPr>
                <w:rFonts w:eastAsia="Times New Roman" w:cs="Arial"/>
                <w:bCs/>
                <w:sz w:val="24"/>
                <w:szCs w:val="24"/>
              </w:rPr>
            </w:pPr>
            <w:r w:rsidRPr="0086173B">
              <w:rPr>
                <w:rFonts w:eastAsia="Times New Roman" w:cs="Arial"/>
                <w:bCs/>
                <w:sz w:val="24"/>
                <w:szCs w:val="24"/>
              </w:rPr>
              <w:t xml:space="preserve">Budget of £6,150 for Independent </w:t>
            </w:r>
            <w:r w:rsidR="006C2368">
              <w:rPr>
                <w:rFonts w:eastAsia="Times New Roman" w:cs="Arial"/>
                <w:bCs/>
                <w:sz w:val="24"/>
                <w:szCs w:val="24"/>
              </w:rPr>
              <w:t>R</w:t>
            </w:r>
            <w:r w:rsidRPr="0086173B">
              <w:rPr>
                <w:rFonts w:eastAsia="Times New Roman" w:cs="Arial"/>
                <w:bCs/>
                <w:sz w:val="24"/>
                <w:szCs w:val="24"/>
              </w:rPr>
              <w:t xml:space="preserve">eporting </w:t>
            </w:r>
            <w:r w:rsidR="006C2368">
              <w:rPr>
                <w:rFonts w:eastAsia="Times New Roman" w:cs="Arial"/>
                <w:bCs/>
                <w:sz w:val="24"/>
                <w:szCs w:val="24"/>
              </w:rPr>
              <w:t>L</w:t>
            </w:r>
            <w:r w:rsidRPr="0086173B">
              <w:rPr>
                <w:rFonts w:eastAsia="Times New Roman" w:cs="Arial"/>
                <w:bCs/>
                <w:sz w:val="24"/>
                <w:szCs w:val="24"/>
              </w:rPr>
              <w:t>ines has been transferred to People Services</w:t>
            </w:r>
          </w:p>
          <w:p w14:paraId="29934826" w14:textId="77777777" w:rsidR="00847386" w:rsidRPr="0086173B" w:rsidRDefault="00847386" w:rsidP="00FC0D1B">
            <w:pPr>
              <w:jc w:val="both"/>
              <w:rPr>
                <w:rFonts w:eastAsia="Times New Roman" w:cs="Arial"/>
                <w:bCs/>
                <w:sz w:val="24"/>
                <w:szCs w:val="24"/>
              </w:rPr>
            </w:pPr>
          </w:p>
          <w:p w14:paraId="7DD84401" w14:textId="77777777" w:rsidR="00847386" w:rsidRPr="0086173B" w:rsidRDefault="00847386" w:rsidP="00FC0D1B">
            <w:pPr>
              <w:jc w:val="both"/>
              <w:rPr>
                <w:rFonts w:eastAsia="Times New Roman" w:cs="Arial"/>
                <w:bCs/>
                <w:sz w:val="24"/>
                <w:szCs w:val="24"/>
              </w:rPr>
            </w:pPr>
            <w:r w:rsidRPr="0086173B">
              <w:rPr>
                <w:rFonts w:eastAsia="Times New Roman" w:cs="Arial"/>
                <w:bCs/>
                <w:sz w:val="24"/>
                <w:szCs w:val="24"/>
              </w:rPr>
              <w:t>The non-delegated budget includes the £300,000 budget for Future Foundations.  This is currently forecast to budget, with a total of £267,000 committed.</w:t>
            </w:r>
          </w:p>
          <w:p w14:paraId="14054717" w14:textId="77777777" w:rsidR="00847386" w:rsidRPr="0086173B" w:rsidRDefault="00847386" w:rsidP="00FC0D1B">
            <w:pPr>
              <w:jc w:val="both"/>
              <w:rPr>
                <w:rFonts w:eastAsia="Times New Roman" w:cs="Arial"/>
                <w:bCs/>
                <w:sz w:val="24"/>
                <w:szCs w:val="24"/>
              </w:rPr>
            </w:pPr>
          </w:p>
          <w:p w14:paraId="48024D20" w14:textId="239AE9EE" w:rsidR="00847386" w:rsidRPr="0086173B" w:rsidRDefault="00847386" w:rsidP="00FC0D1B">
            <w:pPr>
              <w:jc w:val="both"/>
              <w:rPr>
                <w:rFonts w:eastAsia="Times New Roman" w:cs="Arial"/>
                <w:bCs/>
                <w:sz w:val="24"/>
                <w:szCs w:val="24"/>
              </w:rPr>
            </w:pPr>
            <w:r w:rsidRPr="0086173B">
              <w:rPr>
                <w:rFonts w:eastAsia="Times New Roman" w:cs="Arial"/>
                <w:bCs/>
                <w:sz w:val="24"/>
                <w:szCs w:val="24"/>
              </w:rPr>
              <w:t xml:space="preserve">It is intended any in-year underspends from Workforce transition and Future Foundations are </w:t>
            </w:r>
            <w:r w:rsidR="0086173B" w:rsidRPr="0086173B">
              <w:rPr>
                <w:rFonts w:eastAsia="Times New Roman" w:cs="Arial"/>
                <w:bCs/>
                <w:sz w:val="24"/>
                <w:szCs w:val="24"/>
              </w:rPr>
              <w:t xml:space="preserve">transferred to </w:t>
            </w:r>
            <w:r w:rsidR="006C2368">
              <w:rPr>
                <w:rFonts w:eastAsia="Times New Roman" w:cs="Arial"/>
                <w:bCs/>
                <w:sz w:val="24"/>
                <w:szCs w:val="24"/>
              </w:rPr>
              <w:t>a</w:t>
            </w:r>
            <w:r w:rsidR="0086173B" w:rsidRPr="0086173B">
              <w:rPr>
                <w:rFonts w:eastAsia="Times New Roman" w:cs="Arial"/>
                <w:bCs/>
                <w:sz w:val="24"/>
                <w:szCs w:val="24"/>
              </w:rPr>
              <w:t xml:space="preserve"> Future Foundations reserve at year end to fund any implementation costs.</w:t>
            </w:r>
          </w:p>
          <w:p w14:paraId="64E72FDD" w14:textId="6224AA9D" w:rsidR="002F5D0A" w:rsidRPr="0086173B" w:rsidRDefault="002F5D0A" w:rsidP="00847386">
            <w:pPr>
              <w:jc w:val="both"/>
              <w:rPr>
                <w:rFonts w:eastAsia="Times New Roman" w:cs="Arial"/>
                <w:bCs/>
                <w:sz w:val="24"/>
                <w:szCs w:val="24"/>
                <w:u w:val="single"/>
              </w:rPr>
            </w:pPr>
          </w:p>
        </w:tc>
      </w:tr>
      <w:tr w:rsidR="00C07D2C" w:rsidRPr="00301D4F" w14:paraId="683B1E42" w14:textId="77777777" w:rsidTr="00BF65A0">
        <w:trPr>
          <w:gridAfter w:val="1"/>
          <w:wAfter w:w="249" w:type="dxa"/>
        </w:trPr>
        <w:tc>
          <w:tcPr>
            <w:tcW w:w="885" w:type="dxa"/>
            <w:gridSpan w:val="2"/>
          </w:tcPr>
          <w:p w14:paraId="032D64B1" w14:textId="77435B9A" w:rsidR="00C07D2C" w:rsidRPr="00C07D2C" w:rsidRDefault="00C07D2C" w:rsidP="00573DBD">
            <w:pPr>
              <w:rPr>
                <w:rFonts w:eastAsia="Times New Roman" w:cs="Arial"/>
                <w:bCs/>
                <w:sz w:val="24"/>
                <w:szCs w:val="24"/>
                <w:highlight w:val="yellow"/>
              </w:rPr>
            </w:pPr>
          </w:p>
        </w:tc>
        <w:tc>
          <w:tcPr>
            <w:tcW w:w="8931" w:type="dxa"/>
          </w:tcPr>
          <w:p w14:paraId="7F7C8D06" w14:textId="36019F27" w:rsidR="00C07D2C" w:rsidRPr="00C07D2C" w:rsidRDefault="00C07D2C" w:rsidP="00A6658D">
            <w:pPr>
              <w:jc w:val="both"/>
              <w:rPr>
                <w:rFonts w:eastAsia="Times New Roman" w:cs="Arial"/>
                <w:b/>
                <w:sz w:val="24"/>
                <w:szCs w:val="24"/>
                <w:highlight w:val="yellow"/>
              </w:rPr>
            </w:pPr>
          </w:p>
        </w:tc>
      </w:tr>
      <w:tr w:rsidR="002F5D0A" w:rsidRPr="00301D4F" w14:paraId="614A47D8" w14:textId="77777777" w:rsidTr="00BF65A0">
        <w:trPr>
          <w:gridAfter w:val="1"/>
          <w:wAfter w:w="249" w:type="dxa"/>
        </w:trPr>
        <w:tc>
          <w:tcPr>
            <w:tcW w:w="885" w:type="dxa"/>
            <w:gridSpan w:val="2"/>
          </w:tcPr>
          <w:p w14:paraId="0EF89148" w14:textId="166DAC96" w:rsidR="002F5D0A" w:rsidRPr="007C7CF3" w:rsidRDefault="002F5D0A" w:rsidP="00573DBD">
            <w:pPr>
              <w:rPr>
                <w:rFonts w:eastAsia="Times New Roman" w:cs="Arial"/>
                <w:bCs/>
                <w:sz w:val="24"/>
                <w:szCs w:val="24"/>
              </w:rPr>
            </w:pPr>
            <w:r w:rsidRPr="007C7CF3">
              <w:rPr>
                <w:rFonts w:eastAsia="Times New Roman" w:cs="Arial"/>
                <w:bCs/>
                <w:sz w:val="24"/>
                <w:szCs w:val="24"/>
              </w:rPr>
              <w:lastRenderedPageBreak/>
              <w:t>2.1</w:t>
            </w:r>
            <w:r w:rsidR="00847386" w:rsidRPr="007C7CF3">
              <w:rPr>
                <w:rFonts w:eastAsia="Times New Roman" w:cs="Arial"/>
                <w:bCs/>
                <w:sz w:val="24"/>
                <w:szCs w:val="24"/>
              </w:rPr>
              <w:t>2</w:t>
            </w:r>
          </w:p>
        </w:tc>
        <w:tc>
          <w:tcPr>
            <w:tcW w:w="8931" w:type="dxa"/>
          </w:tcPr>
          <w:p w14:paraId="22B4937C" w14:textId="0B64CA8B" w:rsidR="002F5D0A" w:rsidRPr="007C7CF3" w:rsidRDefault="002F5D0A" w:rsidP="00B950C4">
            <w:pPr>
              <w:jc w:val="both"/>
              <w:rPr>
                <w:rFonts w:eastAsia="Times New Roman" w:cs="Arial"/>
                <w:bCs/>
                <w:sz w:val="24"/>
                <w:szCs w:val="24"/>
              </w:rPr>
            </w:pPr>
            <w:r w:rsidRPr="007C7CF3">
              <w:rPr>
                <w:rFonts w:eastAsia="Times New Roman" w:cs="Arial"/>
                <w:b/>
                <w:sz w:val="24"/>
                <w:szCs w:val="24"/>
              </w:rPr>
              <w:t xml:space="preserve">Corporate Contingency: </w:t>
            </w:r>
            <w:r w:rsidRPr="007C7CF3">
              <w:rPr>
                <w:rFonts w:eastAsia="Times New Roman" w:cs="Arial"/>
                <w:bCs/>
                <w:sz w:val="24"/>
                <w:szCs w:val="24"/>
              </w:rPr>
              <w:t>A contingency budget of £</w:t>
            </w:r>
            <w:r w:rsidR="007C7CF3" w:rsidRPr="007C7CF3">
              <w:rPr>
                <w:rFonts w:eastAsia="Times New Roman" w:cs="Arial"/>
                <w:bCs/>
                <w:sz w:val="24"/>
                <w:szCs w:val="24"/>
              </w:rPr>
              <w:t>222</w:t>
            </w:r>
            <w:r w:rsidRPr="007C7CF3">
              <w:rPr>
                <w:rFonts w:eastAsia="Times New Roman" w:cs="Arial"/>
                <w:bCs/>
                <w:sz w:val="24"/>
                <w:szCs w:val="24"/>
              </w:rPr>
              <w:t xml:space="preserve">,000 is currently forecast to underspend and is supporting the overall forecast position.  </w:t>
            </w:r>
          </w:p>
          <w:p w14:paraId="048AB419" w14:textId="77777777" w:rsidR="002F5D0A" w:rsidRPr="007C7CF3" w:rsidRDefault="002F5D0A" w:rsidP="00B950C4">
            <w:pPr>
              <w:jc w:val="both"/>
              <w:rPr>
                <w:rFonts w:eastAsia="Times New Roman" w:cs="Arial"/>
                <w:bCs/>
                <w:sz w:val="24"/>
                <w:szCs w:val="24"/>
              </w:rPr>
            </w:pPr>
          </w:p>
          <w:p w14:paraId="582BD176" w14:textId="77777777" w:rsidR="002F5D0A" w:rsidRPr="007C7CF3" w:rsidRDefault="002F5D0A" w:rsidP="00B950C4">
            <w:pPr>
              <w:jc w:val="both"/>
              <w:rPr>
                <w:rFonts w:eastAsia="Times New Roman" w:cs="Arial"/>
                <w:bCs/>
                <w:sz w:val="24"/>
                <w:szCs w:val="24"/>
              </w:rPr>
            </w:pPr>
            <w:r w:rsidRPr="007C7CF3">
              <w:rPr>
                <w:rFonts w:eastAsia="Times New Roman" w:cs="Arial"/>
                <w:bCs/>
                <w:sz w:val="24"/>
                <w:szCs w:val="24"/>
              </w:rPr>
              <w:t>Further information is provided in section 10.</w:t>
            </w:r>
          </w:p>
          <w:p w14:paraId="70EA22E9" w14:textId="48D74F6D" w:rsidR="002F5D0A" w:rsidRPr="007C7CF3" w:rsidRDefault="002F5D0A" w:rsidP="00955177">
            <w:pPr>
              <w:jc w:val="both"/>
              <w:rPr>
                <w:rFonts w:eastAsia="Times New Roman" w:cs="Arial"/>
                <w:b/>
                <w:sz w:val="24"/>
                <w:szCs w:val="24"/>
              </w:rPr>
            </w:pPr>
          </w:p>
        </w:tc>
      </w:tr>
      <w:tr w:rsidR="002F5D0A" w:rsidRPr="00301D4F" w14:paraId="28DB2690" w14:textId="77777777" w:rsidTr="00BF65A0">
        <w:trPr>
          <w:gridAfter w:val="1"/>
          <w:wAfter w:w="249" w:type="dxa"/>
        </w:trPr>
        <w:tc>
          <w:tcPr>
            <w:tcW w:w="885" w:type="dxa"/>
            <w:gridSpan w:val="2"/>
          </w:tcPr>
          <w:p w14:paraId="399EA77F" w14:textId="1B06BB01" w:rsidR="002F5D0A" w:rsidRPr="00F40E3B" w:rsidRDefault="002F5D0A" w:rsidP="00573DBD">
            <w:pPr>
              <w:rPr>
                <w:rFonts w:eastAsia="Times New Roman" w:cs="Arial"/>
                <w:bCs/>
                <w:sz w:val="24"/>
                <w:szCs w:val="24"/>
              </w:rPr>
            </w:pPr>
            <w:r w:rsidRPr="0056682E">
              <w:rPr>
                <w:rFonts w:eastAsia="Times New Roman" w:cs="Arial"/>
                <w:bCs/>
                <w:sz w:val="24"/>
                <w:szCs w:val="24"/>
              </w:rPr>
              <w:t>2.1</w:t>
            </w:r>
            <w:r w:rsidR="00847386">
              <w:rPr>
                <w:rFonts w:eastAsia="Times New Roman" w:cs="Arial"/>
                <w:bCs/>
                <w:sz w:val="24"/>
                <w:szCs w:val="24"/>
              </w:rPr>
              <w:t>3</w:t>
            </w:r>
          </w:p>
        </w:tc>
        <w:tc>
          <w:tcPr>
            <w:tcW w:w="8931" w:type="dxa"/>
          </w:tcPr>
          <w:p w14:paraId="7A3FD69A" w14:textId="77777777" w:rsidR="002F5D0A" w:rsidRPr="0056682E" w:rsidRDefault="002F5D0A" w:rsidP="008C4591">
            <w:pPr>
              <w:jc w:val="both"/>
              <w:rPr>
                <w:rFonts w:eastAsia="Times New Roman" w:cs="Arial"/>
                <w:sz w:val="24"/>
                <w:szCs w:val="24"/>
              </w:rPr>
            </w:pPr>
            <w:r w:rsidRPr="0056682E">
              <w:rPr>
                <w:rFonts w:eastAsia="Times New Roman" w:cs="Arial"/>
                <w:b/>
                <w:sz w:val="24"/>
                <w:szCs w:val="24"/>
              </w:rPr>
              <w:t>Financing:</w:t>
            </w:r>
            <w:r w:rsidRPr="0056682E">
              <w:rPr>
                <w:rFonts w:eastAsia="Times New Roman" w:cs="Arial"/>
                <w:sz w:val="24"/>
                <w:szCs w:val="24"/>
              </w:rPr>
              <w:t xml:space="preserve"> Current information indicates that the Service will receive additional funding of £159,000 (as per previous forecast).  </w:t>
            </w:r>
          </w:p>
          <w:p w14:paraId="7E18CD5A" w14:textId="77777777" w:rsidR="002F5D0A" w:rsidRPr="0056682E" w:rsidRDefault="002F5D0A" w:rsidP="008C4591">
            <w:pPr>
              <w:jc w:val="both"/>
              <w:rPr>
                <w:rFonts w:eastAsia="Times New Roman" w:cs="Arial"/>
                <w:sz w:val="24"/>
                <w:szCs w:val="24"/>
              </w:rPr>
            </w:pPr>
          </w:p>
          <w:p w14:paraId="188AECC2" w14:textId="77777777" w:rsidR="002F5D0A" w:rsidRPr="0056682E" w:rsidRDefault="002F5D0A" w:rsidP="008C4591">
            <w:pPr>
              <w:jc w:val="both"/>
              <w:rPr>
                <w:rFonts w:eastAsia="Times New Roman" w:cs="Arial"/>
                <w:sz w:val="24"/>
                <w:szCs w:val="24"/>
              </w:rPr>
            </w:pPr>
            <w:r w:rsidRPr="0056682E">
              <w:rPr>
                <w:rFonts w:eastAsia="Times New Roman" w:cs="Arial"/>
                <w:sz w:val="24"/>
                <w:szCs w:val="24"/>
              </w:rPr>
              <w:t>Based on forecasts from Local Government Futures it is expected an additional £74,000 will be received for Business Rates, with a further £86,000 received in relation to council tax surpluses.</w:t>
            </w:r>
          </w:p>
          <w:p w14:paraId="168C8BC8" w14:textId="54396E81" w:rsidR="002F5D0A" w:rsidRPr="00F40E3B" w:rsidRDefault="002F5D0A" w:rsidP="00A6658D">
            <w:pPr>
              <w:jc w:val="both"/>
              <w:rPr>
                <w:rFonts w:eastAsia="Times New Roman" w:cs="Arial"/>
                <w:b/>
                <w:sz w:val="24"/>
                <w:szCs w:val="24"/>
                <w:u w:val="single"/>
              </w:rPr>
            </w:pPr>
          </w:p>
        </w:tc>
      </w:tr>
      <w:tr w:rsidR="002F5D0A" w:rsidRPr="00301D4F" w14:paraId="0C2AFAF0" w14:textId="77777777" w:rsidTr="00BF65A0">
        <w:trPr>
          <w:gridAfter w:val="1"/>
          <w:wAfter w:w="249" w:type="dxa"/>
        </w:trPr>
        <w:tc>
          <w:tcPr>
            <w:tcW w:w="885" w:type="dxa"/>
            <w:gridSpan w:val="2"/>
          </w:tcPr>
          <w:p w14:paraId="45D594A8" w14:textId="24A99A15" w:rsidR="002F5D0A" w:rsidRPr="00301D4F" w:rsidRDefault="002F5D0A" w:rsidP="00573DBD">
            <w:pPr>
              <w:rPr>
                <w:rFonts w:eastAsia="Times New Roman" w:cs="Arial"/>
                <w:bCs/>
                <w:sz w:val="24"/>
                <w:szCs w:val="24"/>
                <w:highlight w:val="yellow"/>
              </w:rPr>
            </w:pPr>
          </w:p>
        </w:tc>
        <w:tc>
          <w:tcPr>
            <w:tcW w:w="8931" w:type="dxa"/>
          </w:tcPr>
          <w:p w14:paraId="2DB4CD0B" w14:textId="4BC6DCB2" w:rsidR="002F5D0A" w:rsidRPr="00301D4F" w:rsidRDefault="002F5D0A" w:rsidP="00DD1F16">
            <w:pPr>
              <w:jc w:val="both"/>
              <w:rPr>
                <w:rFonts w:eastAsia="Times New Roman" w:cs="Arial"/>
                <w:b/>
                <w:sz w:val="24"/>
                <w:szCs w:val="24"/>
                <w:highlight w:val="yellow"/>
              </w:rPr>
            </w:pPr>
          </w:p>
        </w:tc>
      </w:tr>
      <w:tr w:rsidR="002F5D0A" w:rsidRPr="00301D4F" w14:paraId="1284E382" w14:textId="77777777" w:rsidTr="00BF65A0">
        <w:trPr>
          <w:gridAfter w:val="1"/>
          <w:wAfter w:w="249" w:type="dxa"/>
        </w:trPr>
        <w:tc>
          <w:tcPr>
            <w:tcW w:w="885" w:type="dxa"/>
            <w:gridSpan w:val="2"/>
          </w:tcPr>
          <w:p w14:paraId="22260D76" w14:textId="1988D5AC" w:rsidR="002F5D0A" w:rsidRPr="0056682E" w:rsidRDefault="002F5D0A" w:rsidP="00573DBD">
            <w:pPr>
              <w:rPr>
                <w:rFonts w:eastAsia="Times New Roman" w:cs="Arial"/>
                <w:bCs/>
                <w:sz w:val="24"/>
                <w:szCs w:val="24"/>
              </w:rPr>
            </w:pPr>
            <w:r w:rsidRPr="000677F0">
              <w:rPr>
                <w:rFonts w:eastAsia="Times New Roman" w:cs="Arial"/>
                <w:b/>
                <w:sz w:val="24"/>
                <w:szCs w:val="24"/>
              </w:rPr>
              <w:t>3.</w:t>
            </w:r>
          </w:p>
        </w:tc>
        <w:tc>
          <w:tcPr>
            <w:tcW w:w="8931" w:type="dxa"/>
          </w:tcPr>
          <w:p w14:paraId="3179EA3F" w14:textId="77777777" w:rsidR="002F5D0A" w:rsidRPr="000677F0" w:rsidRDefault="002F5D0A" w:rsidP="00BD2B00">
            <w:pPr>
              <w:jc w:val="both"/>
              <w:rPr>
                <w:rFonts w:eastAsia="Times New Roman" w:cs="Arial"/>
                <w:b/>
                <w:sz w:val="24"/>
                <w:szCs w:val="24"/>
                <w:u w:val="single"/>
              </w:rPr>
            </w:pPr>
            <w:r w:rsidRPr="000677F0">
              <w:rPr>
                <w:rFonts w:eastAsia="Times New Roman" w:cs="Arial"/>
                <w:b/>
                <w:sz w:val="24"/>
                <w:szCs w:val="24"/>
                <w:u w:val="single"/>
              </w:rPr>
              <w:t>REVENUE BUDGET AND CAPITAL PROGRAMME RISKS</w:t>
            </w:r>
          </w:p>
          <w:p w14:paraId="28DF1DBF" w14:textId="15AF2D94" w:rsidR="002F5D0A" w:rsidRPr="0056682E" w:rsidRDefault="002F5D0A" w:rsidP="007E7F00">
            <w:pPr>
              <w:jc w:val="both"/>
              <w:rPr>
                <w:rFonts w:eastAsia="Times New Roman" w:cs="Arial"/>
                <w:b/>
                <w:sz w:val="24"/>
                <w:szCs w:val="24"/>
              </w:rPr>
            </w:pPr>
          </w:p>
        </w:tc>
      </w:tr>
      <w:tr w:rsidR="002F5D0A" w:rsidRPr="00301D4F" w14:paraId="00DED8E8" w14:textId="77777777" w:rsidTr="00BF65A0">
        <w:trPr>
          <w:gridAfter w:val="1"/>
          <w:wAfter w:w="249" w:type="dxa"/>
        </w:trPr>
        <w:tc>
          <w:tcPr>
            <w:tcW w:w="885" w:type="dxa"/>
            <w:gridSpan w:val="2"/>
          </w:tcPr>
          <w:p w14:paraId="6970B0EF" w14:textId="30CF77B8" w:rsidR="002F5D0A" w:rsidRPr="00652FB6" w:rsidRDefault="002F5D0A" w:rsidP="00573DBD">
            <w:pPr>
              <w:rPr>
                <w:rFonts w:eastAsia="Times New Roman" w:cs="Arial"/>
                <w:bCs/>
                <w:sz w:val="24"/>
                <w:szCs w:val="24"/>
              </w:rPr>
            </w:pPr>
            <w:r w:rsidRPr="00652FB6">
              <w:rPr>
                <w:rFonts w:eastAsia="Times New Roman" w:cs="Arial"/>
                <w:sz w:val="24"/>
                <w:szCs w:val="24"/>
              </w:rPr>
              <w:t>3.1</w:t>
            </w:r>
          </w:p>
        </w:tc>
        <w:tc>
          <w:tcPr>
            <w:tcW w:w="8931" w:type="dxa"/>
          </w:tcPr>
          <w:p w14:paraId="22309BC5" w14:textId="456A856E" w:rsidR="002F5D0A" w:rsidRPr="00652FB6" w:rsidRDefault="002F5D0A" w:rsidP="009635D0">
            <w:pPr>
              <w:jc w:val="both"/>
              <w:rPr>
                <w:rFonts w:eastAsia="Times New Roman" w:cs="Arial"/>
                <w:sz w:val="24"/>
                <w:szCs w:val="24"/>
              </w:rPr>
            </w:pPr>
            <w:r w:rsidRPr="00652FB6">
              <w:rPr>
                <w:rFonts w:eastAsia="Times New Roman" w:cs="Arial"/>
                <w:b/>
                <w:sz w:val="24"/>
                <w:szCs w:val="24"/>
              </w:rPr>
              <w:t>Pension Costs:</w:t>
            </w:r>
            <w:r w:rsidRPr="00652FB6">
              <w:rPr>
                <w:rFonts w:eastAsia="Times New Roman" w:cs="Arial"/>
                <w:sz w:val="24"/>
                <w:szCs w:val="24"/>
              </w:rPr>
              <w:t xml:space="preserve"> There is continued reliance on one-off grant to fund increased contributions for FPS following the last quadrennial valuation.  The most significant risk is the impact of Remedy for both McCloud / Sargeant and Matthews / O’Brien cases on the scheme valuation and employer</w:t>
            </w:r>
            <w:r w:rsidR="00BF7470">
              <w:rPr>
                <w:rFonts w:eastAsia="Times New Roman" w:cs="Arial"/>
                <w:sz w:val="24"/>
                <w:szCs w:val="24"/>
              </w:rPr>
              <w:t>’</w:t>
            </w:r>
            <w:r w:rsidRPr="00652FB6">
              <w:rPr>
                <w:rFonts w:eastAsia="Times New Roman" w:cs="Arial"/>
                <w:sz w:val="24"/>
                <w:szCs w:val="24"/>
              </w:rPr>
              <w:t xml:space="preserve">s contribution rates from 2024/25, which we understand the Government </w:t>
            </w:r>
            <w:r w:rsidR="006C2368">
              <w:rPr>
                <w:rFonts w:eastAsia="Times New Roman" w:cs="Arial"/>
                <w:sz w:val="24"/>
                <w:szCs w:val="24"/>
              </w:rPr>
              <w:t>will</w:t>
            </w:r>
            <w:r w:rsidR="006C2368" w:rsidRPr="00652FB6">
              <w:rPr>
                <w:rFonts w:eastAsia="Times New Roman" w:cs="Arial"/>
                <w:sz w:val="24"/>
                <w:szCs w:val="24"/>
              </w:rPr>
              <w:t xml:space="preserve"> </w:t>
            </w:r>
            <w:r w:rsidRPr="00652FB6">
              <w:rPr>
                <w:rFonts w:eastAsia="Times New Roman" w:cs="Arial"/>
                <w:sz w:val="24"/>
                <w:szCs w:val="24"/>
              </w:rPr>
              <w:t xml:space="preserve">cover through an additional </w:t>
            </w:r>
            <w:proofErr w:type="gramStart"/>
            <w:r w:rsidRPr="00652FB6">
              <w:rPr>
                <w:rFonts w:eastAsia="Times New Roman" w:cs="Arial"/>
                <w:sz w:val="24"/>
                <w:szCs w:val="24"/>
              </w:rPr>
              <w:t>one off</w:t>
            </w:r>
            <w:proofErr w:type="gramEnd"/>
            <w:r w:rsidRPr="00652FB6">
              <w:rPr>
                <w:rFonts w:eastAsia="Times New Roman" w:cs="Arial"/>
                <w:sz w:val="24"/>
                <w:szCs w:val="24"/>
              </w:rPr>
              <w:t xml:space="preserve"> grant.  The Authority will be liable for any non-scheme costs including interest and </w:t>
            </w:r>
            <w:r w:rsidRPr="00F3207C">
              <w:rPr>
                <w:rFonts w:eastAsia="Times New Roman" w:cs="Arial"/>
                <w:sz w:val="24"/>
                <w:szCs w:val="24"/>
              </w:rPr>
              <w:t xml:space="preserve">unauthorised tax charges as well as any additional administrative costs. A Pension Administration reserve is held to fund costs resulting from remedy implementation.  It is expected the balance of this reserve as </w:t>
            </w:r>
            <w:proofErr w:type="gramStart"/>
            <w:r w:rsidRPr="00F3207C">
              <w:rPr>
                <w:rFonts w:eastAsia="Times New Roman" w:cs="Arial"/>
                <w:sz w:val="24"/>
                <w:szCs w:val="24"/>
              </w:rPr>
              <w:t>at</w:t>
            </w:r>
            <w:proofErr w:type="gramEnd"/>
            <w:r w:rsidRPr="00F3207C">
              <w:rPr>
                <w:rFonts w:eastAsia="Times New Roman" w:cs="Arial"/>
                <w:sz w:val="24"/>
                <w:szCs w:val="24"/>
              </w:rPr>
              <w:t xml:space="preserve"> 31 March 2024 will be £1</w:t>
            </w:r>
            <w:r w:rsidR="00F3207C" w:rsidRPr="00F3207C">
              <w:rPr>
                <w:rFonts w:eastAsia="Times New Roman" w:cs="Arial"/>
                <w:sz w:val="24"/>
                <w:szCs w:val="24"/>
              </w:rPr>
              <w:t>4</w:t>
            </w:r>
            <w:r w:rsidRPr="00F3207C">
              <w:rPr>
                <w:rFonts w:eastAsia="Times New Roman" w:cs="Arial"/>
                <w:sz w:val="24"/>
                <w:szCs w:val="24"/>
              </w:rPr>
              <w:t>4,000, with £</w:t>
            </w:r>
            <w:r w:rsidR="00F3207C" w:rsidRPr="00F3207C">
              <w:rPr>
                <w:rFonts w:eastAsia="Times New Roman" w:cs="Arial"/>
                <w:sz w:val="24"/>
                <w:szCs w:val="24"/>
              </w:rPr>
              <w:t>7</w:t>
            </w:r>
            <w:r w:rsidRPr="00F3207C">
              <w:rPr>
                <w:rFonts w:eastAsia="Times New Roman" w:cs="Arial"/>
                <w:sz w:val="24"/>
                <w:szCs w:val="24"/>
              </w:rPr>
              <w:t>2,000 committed in 2023/24 as funding for Pensions posts.</w:t>
            </w:r>
          </w:p>
          <w:p w14:paraId="23409D4A" w14:textId="1A3DDFB7" w:rsidR="002F5D0A" w:rsidRPr="00652FB6" w:rsidRDefault="002F5D0A" w:rsidP="009F4925">
            <w:pPr>
              <w:rPr>
                <w:rFonts w:eastAsia="Times New Roman" w:cs="Arial"/>
                <w:bCs/>
                <w:sz w:val="24"/>
                <w:szCs w:val="24"/>
                <w:u w:val="single"/>
              </w:rPr>
            </w:pPr>
          </w:p>
        </w:tc>
      </w:tr>
      <w:tr w:rsidR="002F5D0A" w:rsidRPr="00301D4F" w14:paraId="1BDDAE49" w14:textId="77777777" w:rsidTr="00BF65A0">
        <w:trPr>
          <w:gridAfter w:val="1"/>
          <w:wAfter w:w="249" w:type="dxa"/>
          <w:trHeight w:val="232"/>
        </w:trPr>
        <w:tc>
          <w:tcPr>
            <w:tcW w:w="885" w:type="dxa"/>
            <w:gridSpan w:val="2"/>
          </w:tcPr>
          <w:p w14:paraId="0C56C2D6" w14:textId="22A9A3AA" w:rsidR="002F5D0A" w:rsidRPr="00A54B0C" w:rsidRDefault="002F5D0A" w:rsidP="00573DBD">
            <w:pPr>
              <w:rPr>
                <w:rFonts w:eastAsia="Times New Roman" w:cs="Arial"/>
                <w:bCs/>
                <w:sz w:val="24"/>
                <w:szCs w:val="24"/>
              </w:rPr>
            </w:pPr>
            <w:r w:rsidRPr="00A54B0C">
              <w:rPr>
                <w:rFonts w:eastAsia="Times New Roman" w:cs="Arial"/>
                <w:sz w:val="24"/>
                <w:szCs w:val="24"/>
              </w:rPr>
              <w:t>3.2</w:t>
            </w:r>
          </w:p>
        </w:tc>
        <w:tc>
          <w:tcPr>
            <w:tcW w:w="8931" w:type="dxa"/>
          </w:tcPr>
          <w:p w14:paraId="60F869C7" w14:textId="77777777" w:rsidR="002F5D0A" w:rsidRPr="00A54B0C" w:rsidRDefault="002F5D0A" w:rsidP="00BD2B00">
            <w:pPr>
              <w:jc w:val="both"/>
              <w:rPr>
                <w:rFonts w:eastAsia="Times New Roman" w:cs="Arial"/>
                <w:sz w:val="24"/>
                <w:szCs w:val="24"/>
              </w:rPr>
            </w:pPr>
            <w:r w:rsidRPr="00A54B0C">
              <w:rPr>
                <w:rFonts w:eastAsia="Times New Roman" w:cs="Arial"/>
                <w:b/>
                <w:sz w:val="24"/>
                <w:szCs w:val="24"/>
              </w:rPr>
              <w:t>Pay Award 2023/24:</w:t>
            </w:r>
            <w:r w:rsidRPr="00A54B0C">
              <w:rPr>
                <w:rFonts w:eastAsia="Times New Roman" w:cs="Arial"/>
                <w:sz w:val="24"/>
                <w:szCs w:val="24"/>
              </w:rPr>
              <w:t xml:space="preserve"> The budget provided for 4% pay awards across gold, grey and green book staff. </w:t>
            </w:r>
          </w:p>
          <w:p w14:paraId="777D456F" w14:textId="49E1F831" w:rsidR="002F5D0A" w:rsidRPr="00A54B0C" w:rsidRDefault="002F5D0A" w:rsidP="007E7F00">
            <w:pPr>
              <w:jc w:val="both"/>
              <w:rPr>
                <w:rFonts w:eastAsia="Times New Roman" w:cs="Arial"/>
                <w:b/>
                <w:sz w:val="24"/>
                <w:szCs w:val="24"/>
                <w:u w:val="single"/>
              </w:rPr>
            </w:pPr>
          </w:p>
        </w:tc>
      </w:tr>
      <w:tr w:rsidR="002F5D0A" w:rsidRPr="00301D4F" w14:paraId="1238347C" w14:textId="77777777" w:rsidTr="00BF65A0">
        <w:trPr>
          <w:gridAfter w:val="1"/>
          <w:wAfter w:w="249" w:type="dxa"/>
          <w:trHeight w:val="232"/>
        </w:trPr>
        <w:tc>
          <w:tcPr>
            <w:tcW w:w="885" w:type="dxa"/>
            <w:gridSpan w:val="2"/>
          </w:tcPr>
          <w:p w14:paraId="0CCC26CE" w14:textId="2FFA27E5" w:rsidR="002F5D0A" w:rsidRPr="007C7CF3" w:rsidRDefault="002F5D0A" w:rsidP="00573DBD">
            <w:pPr>
              <w:rPr>
                <w:rFonts w:eastAsia="Times New Roman" w:cs="Arial"/>
                <w:bCs/>
                <w:sz w:val="24"/>
                <w:szCs w:val="24"/>
              </w:rPr>
            </w:pPr>
            <w:r w:rsidRPr="007C7CF3">
              <w:rPr>
                <w:rFonts w:eastAsia="Times New Roman" w:cs="Arial"/>
                <w:sz w:val="24"/>
                <w:szCs w:val="24"/>
              </w:rPr>
              <w:t>3.2.1</w:t>
            </w:r>
          </w:p>
        </w:tc>
        <w:tc>
          <w:tcPr>
            <w:tcW w:w="8931" w:type="dxa"/>
          </w:tcPr>
          <w:p w14:paraId="2AD93FC7" w14:textId="77777777" w:rsidR="002F5D0A" w:rsidRPr="007C7CF3" w:rsidRDefault="002F5D0A" w:rsidP="00BD2B00">
            <w:pPr>
              <w:jc w:val="both"/>
              <w:rPr>
                <w:rFonts w:eastAsia="Times New Roman" w:cs="Arial"/>
                <w:bCs/>
                <w:sz w:val="24"/>
                <w:szCs w:val="24"/>
              </w:rPr>
            </w:pPr>
            <w:r w:rsidRPr="007C7CF3">
              <w:rPr>
                <w:rFonts w:eastAsia="Times New Roman" w:cs="Arial"/>
                <w:bCs/>
                <w:sz w:val="24"/>
                <w:szCs w:val="24"/>
              </w:rPr>
              <w:t>Gold book pay awards backdated to January 2022 are included within the reported forecast position.</w:t>
            </w:r>
          </w:p>
          <w:p w14:paraId="0EF96F87" w14:textId="01915FBB" w:rsidR="002F5D0A" w:rsidRPr="007C7CF3" w:rsidRDefault="002F5D0A" w:rsidP="00DC0A3E">
            <w:pPr>
              <w:rPr>
                <w:rFonts w:eastAsia="Times New Roman" w:cs="Arial"/>
                <w:bCs/>
                <w:sz w:val="24"/>
                <w:szCs w:val="24"/>
              </w:rPr>
            </w:pPr>
          </w:p>
        </w:tc>
      </w:tr>
      <w:tr w:rsidR="002F5D0A" w:rsidRPr="00301D4F" w14:paraId="2372CF6A" w14:textId="77777777" w:rsidTr="00BF65A0">
        <w:trPr>
          <w:gridAfter w:val="1"/>
          <w:wAfter w:w="249" w:type="dxa"/>
          <w:trHeight w:val="232"/>
        </w:trPr>
        <w:tc>
          <w:tcPr>
            <w:tcW w:w="885" w:type="dxa"/>
            <w:gridSpan w:val="2"/>
          </w:tcPr>
          <w:p w14:paraId="2336E7EB" w14:textId="574427A1" w:rsidR="002F5D0A" w:rsidRPr="007C7CF3" w:rsidRDefault="002F5D0A" w:rsidP="00573DBD">
            <w:pPr>
              <w:rPr>
                <w:rFonts w:eastAsia="Times New Roman" w:cs="Arial"/>
                <w:bCs/>
                <w:sz w:val="24"/>
                <w:szCs w:val="24"/>
              </w:rPr>
            </w:pPr>
            <w:r w:rsidRPr="007C7CF3">
              <w:rPr>
                <w:rFonts w:eastAsia="Times New Roman" w:cs="Arial"/>
                <w:sz w:val="24"/>
                <w:szCs w:val="24"/>
              </w:rPr>
              <w:t>3.2.2</w:t>
            </w:r>
          </w:p>
        </w:tc>
        <w:tc>
          <w:tcPr>
            <w:tcW w:w="8931" w:type="dxa"/>
          </w:tcPr>
          <w:p w14:paraId="6CB11D88" w14:textId="77777777" w:rsidR="002F5D0A" w:rsidRPr="007C7CF3" w:rsidRDefault="002F5D0A" w:rsidP="00D14A7F">
            <w:pPr>
              <w:jc w:val="both"/>
              <w:rPr>
                <w:rFonts w:eastAsia="Times New Roman" w:cs="Arial"/>
                <w:sz w:val="24"/>
                <w:szCs w:val="24"/>
              </w:rPr>
            </w:pPr>
            <w:r w:rsidRPr="007C7CF3">
              <w:rPr>
                <w:rFonts w:eastAsia="Times New Roman" w:cs="Arial"/>
                <w:sz w:val="24"/>
                <w:szCs w:val="24"/>
              </w:rPr>
              <w:t xml:space="preserve">Grey book staff have been awarded 7% from 1 July 2022 and 5% from 1 July 2023, which is included within the forecast position.   </w:t>
            </w:r>
          </w:p>
          <w:p w14:paraId="0C6BED14" w14:textId="6164C107" w:rsidR="002F5D0A" w:rsidRPr="007C7CF3" w:rsidRDefault="002F5D0A" w:rsidP="008C4591">
            <w:pPr>
              <w:rPr>
                <w:rFonts w:eastAsia="Times New Roman" w:cs="Arial"/>
                <w:b/>
                <w:sz w:val="24"/>
                <w:szCs w:val="24"/>
              </w:rPr>
            </w:pPr>
          </w:p>
        </w:tc>
      </w:tr>
      <w:tr w:rsidR="002F5D0A" w:rsidRPr="00301D4F" w14:paraId="764A6B57" w14:textId="77777777" w:rsidTr="00BF65A0">
        <w:trPr>
          <w:gridAfter w:val="1"/>
          <w:wAfter w:w="249" w:type="dxa"/>
          <w:trHeight w:val="232"/>
        </w:trPr>
        <w:tc>
          <w:tcPr>
            <w:tcW w:w="885" w:type="dxa"/>
            <w:gridSpan w:val="2"/>
          </w:tcPr>
          <w:p w14:paraId="6D194019" w14:textId="268ADB5A" w:rsidR="002F5D0A" w:rsidRPr="007C7CF3" w:rsidRDefault="002F5D0A" w:rsidP="00573DBD">
            <w:pPr>
              <w:rPr>
                <w:rFonts w:eastAsia="Times New Roman" w:cs="Arial"/>
                <w:bCs/>
                <w:sz w:val="24"/>
                <w:szCs w:val="24"/>
              </w:rPr>
            </w:pPr>
            <w:r w:rsidRPr="007C7CF3">
              <w:rPr>
                <w:rFonts w:eastAsia="Times New Roman" w:cs="Arial"/>
                <w:sz w:val="24"/>
                <w:szCs w:val="24"/>
              </w:rPr>
              <w:t>3.2.3</w:t>
            </w:r>
          </w:p>
        </w:tc>
        <w:tc>
          <w:tcPr>
            <w:tcW w:w="8931" w:type="dxa"/>
          </w:tcPr>
          <w:p w14:paraId="7CBCE92D" w14:textId="387146D3" w:rsidR="002F5D0A" w:rsidRPr="007C7CF3" w:rsidRDefault="002F5D0A" w:rsidP="00AE1EF5">
            <w:pPr>
              <w:rPr>
                <w:rFonts w:eastAsia="Times New Roman" w:cs="Arial"/>
                <w:bCs/>
                <w:sz w:val="24"/>
                <w:szCs w:val="24"/>
                <w:u w:val="single"/>
              </w:rPr>
            </w:pPr>
            <w:r w:rsidRPr="007C7CF3">
              <w:rPr>
                <w:rFonts w:eastAsia="Times New Roman" w:cs="Arial"/>
                <w:sz w:val="24"/>
                <w:szCs w:val="24"/>
              </w:rPr>
              <w:t xml:space="preserve">Green book staff have been </w:t>
            </w:r>
            <w:r w:rsidR="00964807" w:rsidRPr="007C7CF3">
              <w:rPr>
                <w:rFonts w:eastAsia="Times New Roman" w:cs="Arial"/>
                <w:sz w:val="24"/>
                <w:szCs w:val="24"/>
              </w:rPr>
              <w:t>awarded</w:t>
            </w:r>
            <w:r w:rsidRPr="007C7CF3">
              <w:rPr>
                <w:rFonts w:eastAsia="Times New Roman" w:cs="Arial"/>
                <w:sz w:val="24"/>
                <w:szCs w:val="24"/>
              </w:rPr>
              <w:t xml:space="preserve"> £1,925</w:t>
            </w:r>
            <w:r w:rsidR="00964807" w:rsidRPr="007C7CF3">
              <w:rPr>
                <w:rFonts w:eastAsia="Times New Roman" w:cs="Arial"/>
                <w:sz w:val="24"/>
                <w:szCs w:val="24"/>
              </w:rPr>
              <w:t xml:space="preserve"> from 1 April 2023</w:t>
            </w:r>
            <w:r w:rsidR="00517D29" w:rsidRPr="007C7CF3">
              <w:rPr>
                <w:rFonts w:eastAsia="Times New Roman" w:cs="Arial"/>
                <w:sz w:val="24"/>
                <w:szCs w:val="24"/>
              </w:rPr>
              <w:t xml:space="preserve">, which is included within the forecast position.  </w:t>
            </w:r>
            <w:r w:rsidR="007C7CF3" w:rsidRPr="007C7CF3">
              <w:rPr>
                <w:rFonts w:eastAsia="Times New Roman" w:cs="Arial"/>
                <w:sz w:val="24"/>
                <w:szCs w:val="24"/>
              </w:rPr>
              <w:t>£120,000 has been allocated from contingency to cover the pay award.</w:t>
            </w:r>
            <w:r w:rsidRPr="007C7CF3">
              <w:rPr>
                <w:rFonts w:eastAsia="Times New Roman" w:cs="Arial"/>
                <w:sz w:val="24"/>
                <w:szCs w:val="24"/>
              </w:rPr>
              <w:t xml:space="preserve"> </w:t>
            </w:r>
          </w:p>
        </w:tc>
      </w:tr>
      <w:tr w:rsidR="002F5D0A" w:rsidRPr="00301D4F" w14:paraId="1069DBE0" w14:textId="77777777" w:rsidTr="00BF65A0">
        <w:trPr>
          <w:gridAfter w:val="1"/>
          <w:wAfter w:w="249" w:type="dxa"/>
          <w:trHeight w:val="232"/>
        </w:trPr>
        <w:tc>
          <w:tcPr>
            <w:tcW w:w="885" w:type="dxa"/>
            <w:gridSpan w:val="2"/>
          </w:tcPr>
          <w:p w14:paraId="154B0AB9" w14:textId="02ADE9B0" w:rsidR="002F5D0A" w:rsidRPr="00301D4F" w:rsidRDefault="002F5D0A" w:rsidP="00573DBD">
            <w:pPr>
              <w:rPr>
                <w:rFonts w:eastAsia="Times New Roman" w:cs="Arial"/>
                <w:b/>
                <w:sz w:val="24"/>
                <w:szCs w:val="24"/>
                <w:highlight w:val="yellow"/>
              </w:rPr>
            </w:pPr>
          </w:p>
        </w:tc>
        <w:tc>
          <w:tcPr>
            <w:tcW w:w="8931" w:type="dxa"/>
          </w:tcPr>
          <w:p w14:paraId="7AE72455" w14:textId="64EAA5E7" w:rsidR="002F5D0A" w:rsidRPr="00301D4F" w:rsidRDefault="002F5D0A" w:rsidP="00154EEA">
            <w:pPr>
              <w:rPr>
                <w:rFonts w:eastAsia="Times New Roman" w:cs="Arial"/>
                <w:b/>
                <w:sz w:val="24"/>
                <w:szCs w:val="24"/>
                <w:highlight w:val="yellow"/>
                <w:u w:val="single"/>
              </w:rPr>
            </w:pPr>
          </w:p>
        </w:tc>
      </w:tr>
      <w:tr w:rsidR="002F5D0A" w:rsidRPr="00301D4F" w14:paraId="60C318DE" w14:textId="77777777" w:rsidTr="00BF65A0">
        <w:trPr>
          <w:gridAfter w:val="1"/>
          <w:wAfter w:w="249" w:type="dxa"/>
          <w:trHeight w:val="232"/>
        </w:trPr>
        <w:tc>
          <w:tcPr>
            <w:tcW w:w="885" w:type="dxa"/>
            <w:gridSpan w:val="2"/>
          </w:tcPr>
          <w:p w14:paraId="3BDFCC8A" w14:textId="18EB8C21" w:rsidR="002F5D0A" w:rsidRPr="00A54B0C" w:rsidRDefault="002F5D0A" w:rsidP="00573DBD">
            <w:pPr>
              <w:rPr>
                <w:rFonts w:eastAsia="Times New Roman" w:cs="Arial"/>
                <w:bCs/>
                <w:sz w:val="24"/>
                <w:szCs w:val="24"/>
              </w:rPr>
            </w:pPr>
            <w:r w:rsidRPr="00A54B0C">
              <w:rPr>
                <w:rFonts w:eastAsia="Times New Roman" w:cs="Arial"/>
                <w:sz w:val="24"/>
                <w:szCs w:val="24"/>
              </w:rPr>
              <w:t>3.3</w:t>
            </w:r>
          </w:p>
        </w:tc>
        <w:tc>
          <w:tcPr>
            <w:tcW w:w="8931" w:type="dxa"/>
          </w:tcPr>
          <w:p w14:paraId="13B6A420" w14:textId="7827779C" w:rsidR="002F5D0A" w:rsidRPr="00A54B0C" w:rsidRDefault="002F5D0A" w:rsidP="00573DBD">
            <w:pPr>
              <w:rPr>
                <w:rFonts w:eastAsia="Times New Roman" w:cs="Arial"/>
                <w:b/>
                <w:sz w:val="24"/>
                <w:szCs w:val="24"/>
                <w:u w:val="single"/>
              </w:rPr>
            </w:pPr>
            <w:r w:rsidRPr="00A54B0C">
              <w:rPr>
                <w:rFonts w:eastAsia="Times New Roman" w:cs="Arial"/>
                <w:b/>
                <w:sz w:val="24"/>
                <w:szCs w:val="24"/>
              </w:rPr>
              <w:t>Worldwide Supply Chain Issues:</w:t>
            </w:r>
            <w:r w:rsidRPr="00A54B0C">
              <w:rPr>
                <w:rFonts w:eastAsia="Times New Roman" w:cs="Arial"/>
                <w:sz w:val="24"/>
                <w:szCs w:val="24"/>
              </w:rPr>
              <w:t xml:space="preserve"> The impact of worldwide supply chain disruption is impacting construction projects across the nation. The dwindling supplies along with increased costs and long delivery times being experienced by the construction industry are impacting on the Capital Programme.  Thus far the Estates team has worked with stakeholders to bring tender costs back within budget through value engineering where possible on those projects which the Authority committed to following the phase 1 review of the Estates Capital Programme, but this approach may not be sustainable.  There are two potential impacts, firstly increases in the cost of projects and secondly slippage of projects and spend into future years (which could in itself lead to additional increased costs).  The Estates Team </w:t>
            </w:r>
            <w:r w:rsidR="006C2368">
              <w:rPr>
                <w:rFonts w:eastAsia="Times New Roman" w:cs="Arial"/>
                <w:sz w:val="24"/>
                <w:szCs w:val="24"/>
              </w:rPr>
              <w:t xml:space="preserve">has completed an initial review of the capital programme and SLT has agreed priorities for delivery to the end of 2024/25 </w:t>
            </w:r>
            <w:r w:rsidR="006C2368">
              <w:rPr>
                <w:rFonts w:eastAsia="Times New Roman" w:cs="Arial"/>
                <w:sz w:val="24"/>
                <w:szCs w:val="24"/>
              </w:rPr>
              <w:lastRenderedPageBreak/>
              <w:t xml:space="preserve">(which will be reflected in the draft budget report to January P&amp;R Panel) and will carry out a full review of the Estates Strategy in 2024/25.  Additional funding has been agreed to address inflationary pressures on the Preston Circus project (£1.6m) and new funding for Fort Rd </w:t>
            </w:r>
            <w:r w:rsidR="006C2368" w:rsidRPr="00506216">
              <w:rPr>
                <w:rFonts w:eastAsia="Times New Roman" w:cs="Arial"/>
                <w:sz w:val="24"/>
                <w:szCs w:val="24"/>
              </w:rPr>
              <w:t>Engineering Workshop (£</w:t>
            </w:r>
            <w:r w:rsidR="001B4F55" w:rsidRPr="00506216">
              <w:rPr>
                <w:rFonts w:eastAsia="Times New Roman" w:cs="Arial"/>
                <w:sz w:val="24"/>
                <w:szCs w:val="24"/>
              </w:rPr>
              <w:t>0</w:t>
            </w:r>
            <w:r w:rsidR="006C2368" w:rsidRPr="00506216">
              <w:rPr>
                <w:rFonts w:eastAsia="Times New Roman" w:cs="Arial"/>
                <w:sz w:val="24"/>
                <w:szCs w:val="24"/>
              </w:rPr>
              <w:t>.</w:t>
            </w:r>
            <w:r w:rsidR="001B4F55" w:rsidRPr="00506216">
              <w:rPr>
                <w:rFonts w:eastAsia="Times New Roman" w:cs="Arial"/>
                <w:sz w:val="24"/>
                <w:szCs w:val="24"/>
              </w:rPr>
              <w:t>5</w:t>
            </w:r>
            <w:r w:rsidR="006C2368" w:rsidRPr="00506216">
              <w:rPr>
                <w:rFonts w:eastAsia="Times New Roman" w:cs="Arial"/>
                <w:sz w:val="24"/>
                <w:szCs w:val="24"/>
              </w:rPr>
              <w:t xml:space="preserve">m). </w:t>
            </w:r>
            <w:r w:rsidR="001B4F55" w:rsidRPr="00506216">
              <w:rPr>
                <w:rFonts w:eastAsia="Times New Roman" w:cs="Arial"/>
                <w:sz w:val="24"/>
                <w:szCs w:val="24"/>
              </w:rPr>
              <w:t xml:space="preserve"> These will be reflected in the 2024/25 budget papers</w:t>
            </w:r>
            <w:r w:rsidR="00551855" w:rsidRPr="00506216">
              <w:rPr>
                <w:rFonts w:eastAsia="Times New Roman" w:cs="Arial"/>
                <w:sz w:val="24"/>
                <w:szCs w:val="24"/>
              </w:rPr>
              <w:t>.</w:t>
            </w:r>
          </w:p>
        </w:tc>
      </w:tr>
      <w:tr w:rsidR="002F5D0A" w:rsidRPr="00301D4F" w14:paraId="00D0FE36" w14:textId="77777777" w:rsidTr="00BF65A0">
        <w:trPr>
          <w:gridAfter w:val="1"/>
          <w:wAfter w:w="249" w:type="dxa"/>
          <w:trHeight w:val="232"/>
        </w:trPr>
        <w:tc>
          <w:tcPr>
            <w:tcW w:w="885" w:type="dxa"/>
            <w:gridSpan w:val="2"/>
          </w:tcPr>
          <w:p w14:paraId="20ED5D78" w14:textId="7B04BBE1" w:rsidR="002F5D0A" w:rsidRPr="00301D4F" w:rsidRDefault="002F5D0A" w:rsidP="00573DBD">
            <w:pPr>
              <w:rPr>
                <w:rFonts w:eastAsia="Times New Roman" w:cs="Arial"/>
                <w:bCs/>
                <w:sz w:val="24"/>
                <w:szCs w:val="24"/>
                <w:highlight w:val="yellow"/>
              </w:rPr>
            </w:pPr>
          </w:p>
        </w:tc>
        <w:tc>
          <w:tcPr>
            <w:tcW w:w="8931" w:type="dxa"/>
          </w:tcPr>
          <w:p w14:paraId="4D278974" w14:textId="7FA8B386" w:rsidR="002F5D0A" w:rsidRPr="00301D4F" w:rsidRDefault="002F5D0A" w:rsidP="0076016D">
            <w:pPr>
              <w:rPr>
                <w:rFonts w:eastAsia="Times New Roman" w:cs="Arial"/>
                <w:bCs/>
                <w:sz w:val="24"/>
                <w:szCs w:val="24"/>
                <w:highlight w:val="yellow"/>
              </w:rPr>
            </w:pPr>
          </w:p>
        </w:tc>
      </w:tr>
      <w:tr w:rsidR="002F5D0A" w:rsidRPr="00301D4F" w14:paraId="3E820CF4" w14:textId="77777777" w:rsidTr="00BF65A0">
        <w:trPr>
          <w:gridAfter w:val="1"/>
          <w:wAfter w:w="249" w:type="dxa"/>
          <w:trHeight w:val="232"/>
        </w:trPr>
        <w:tc>
          <w:tcPr>
            <w:tcW w:w="885" w:type="dxa"/>
            <w:gridSpan w:val="2"/>
          </w:tcPr>
          <w:p w14:paraId="6A45B92A" w14:textId="05FC2793" w:rsidR="002F5D0A" w:rsidRPr="00301D4F" w:rsidRDefault="002F5D0A" w:rsidP="00573DBD">
            <w:pPr>
              <w:rPr>
                <w:rFonts w:eastAsia="Times New Roman" w:cs="Arial"/>
                <w:bCs/>
                <w:sz w:val="24"/>
                <w:szCs w:val="24"/>
                <w:highlight w:val="yellow"/>
              </w:rPr>
            </w:pPr>
            <w:r w:rsidRPr="00F40E3B">
              <w:rPr>
                <w:rFonts w:eastAsia="Times New Roman" w:cs="Arial"/>
                <w:sz w:val="24"/>
                <w:szCs w:val="24"/>
              </w:rPr>
              <w:t>3.5</w:t>
            </w:r>
          </w:p>
        </w:tc>
        <w:tc>
          <w:tcPr>
            <w:tcW w:w="8931" w:type="dxa"/>
          </w:tcPr>
          <w:p w14:paraId="0FDD7945" w14:textId="3586EAAD" w:rsidR="002F5D0A" w:rsidRPr="00301D4F" w:rsidRDefault="002F5D0A" w:rsidP="00A6658D">
            <w:pPr>
              <w:jc w:val="both"/>
              <w:rPr>
                <w:rFonts w:eastAsia="Times New Roman" w:cs="Arial"/>
                <w:b/>
                <w:sz w:val="24"/>
                <w:szCs w:val="24"/>
                <w:highlight w:val="yellow"/>
              </w:rPr>
            </w:pPr>
            <w:r w:rsidRPr="00F40E3B">
              <w:rPr>
                <w:rFonts w:eastAsia="Times New Roman" w:cs="Arial"/>
                <w:b/>
                <w:sz w:val="24"/>
                <w:szCs w:val="24"/>
              </w:rPr>
              <w:t>Inflationary Contract Increases</w:t>
            </w:r>
            <w:r w:rsidRPr="00F40E3B">
              <w:rPr>
                <w:rFonts w:eastAsia="Times New Roman" w:cs="Arial"/>
                <w:bCs/>
                <w:sz w:val="24"/>
                <w:szCs w:val="24"/>
              </w:rPr>
              <w:t xml:space="preserve">:  In addition to utilities and fuel additional budget provision was allocated for maintenance and term contracts (£70,000), legal services (£4,000) and catering (£6,000).  A standard 2% inflationary budget increase was included for all non-pay totalling £181,000.  This there is a risk pressures will arise across non pay spend budgets that cannot be absorbed.  This position will continue to be monitored with input from Procurement.  </w:t>
            </w:r>
          </w:p>
        </w:tc>
      </w:tr>
      <w:tr w:rsidR="002F5D0A" w:rsidRPr="00301D4F" w14:paraId="6A86EE60" w14:textId="77777777" w:rsidTr="00BF65A0">
        <w:trPr>
          <w:gridAfter w:val="1"/>
          <w:wAfter w:w="249" w:type="dxa"/>
          <w:trHeight w:val="232"/>
        </w:trPr>
        <w:tc>
          <w:tcPr>
            <w:tcW w:w="885" w:type="dxa"/>
            <w:gridSpan w:val="2"/>
          </w:tcPr>
          <w:p w14:paraId="30CD3F90" w14:textId="13E5B223" w:rsidR="002F5D0A" w:rsidRPr="00F40E3B" w:rsidRDefault="002F5D0A" w:rsidP="00573DBD">
            <w:pPr>
              <w:rPr>
                <w:rFonts w:eastAsia="Times New Roman" w:cs="Arial"/>
                <w:bCs/>
                <w:sz w:val="24"/>
                <w:szCs w:val="24"/>
              </w:rPr>
            </w:pPr>
          </w:p>
        </w:tc>
        <w:tc>
          <w:tcPr>
            <w:tcW w:w="8931" w:type="dxa"/>
          </w:tcPr>
          <w:p w14:paraId="4D0C4384" w14:textId="6DEFA089" w:rsidR="002F5D0A" w:rsidRPr="00F40E3B" w:rsidRDefault="002F5D0A" w:rsidP="00D018A9">
            <w:pPr>
              <w:jc w:val="both"/>
              <w:rPr>
                <w:b/>
                <w:sz w:val="24"/>
                <w:szCs w:val="24"/>
              </w:rPr>
            </w:pPr>
          </w:p>
        </w:tc>
      </w:tr>
      <w:tr w:rsidR="002F5D0A" w:rsidRPr="00301D4F" w14:paraId="201C8DFB" w14:textId="77777777" w:rsidTr="00BF65A0">
        <w:trPr>
          <w:gridAfter w:val="1"/>
          <w:wAfter w:w="249" w:type="dxa"/>
          <w:trHeight w:val="232"/>
        </w:trPr>
        <w:tc>
          <w:tcPr>
            <w:tcW w:w="885" w:type="dxa"/>
            <w:gridSpan w:val="2"/>
          </w:tcPr>
          <w:p w14:paraId="0AD98B15" w14:textId="1C5CB305" w:rsidR="002F5D0A" w:rsidRPr="00301D4F" w:rsidRDefault="002F5D0A" w:rsidP="00573DBD">
            <w:pPr>
              <w:rPr>
                <w:rFonts w:eastAsia="Times New Roman" w:cs="Arial"/>
                <w:bCs/>
                <w:sz w:val="24"/>
                <w:szCs w:val="24"/>
                <w:highlight w:val="yellow"/>
              </w:rPr>
            </w:pPr>
            <w:r w:rsidRPr="000677F0">
              <w:rPr>
                <w:rFonts w:eastAsia="Times New Roman" w:cs="Arial"/>
                <w:b/>
                <w:sz w:val="24"/>
                <w:szCs w:val="24"/>
              </w:rPr>
              <w:t>4.</w:t>
            </w:r>
          </w:p>
        </w:tc>
        <w:tc>
          <w:tcPr>
            <w:tcW w:w="8931" w:type="dxa"/>
          </w:tcPr>
          <w:p w14:paraId="2B4C81F0" w14:textId="77777777" w:rsidR="002F5D0A" w:rsidRPr="000677F0" w:rsidRDefault="002F5D0A" w:rsidP="00BD2B00">
            <w:pPr>
              <w:jc w:val="both"/>
              <w:rPr>
                <w:b/>
                <w:sz w:val="24"/>
                <w:szCs w:val="24"/>
                <w:u w:val="single"/>
              </w:rPr>
            </w:pPr>
            <w:r w:rsidRPr="000677F0">
              <w:rPr>
                <w:b/>
                <w:sz w:val="24"/>
                <w:szCs w:val="24"/>
                <w:u w:val="single"/>
              </w:rPr>
              <w:t>MANAGING REVENUE BUDGET PRESSURES</w:t>
            </w:r>
          </w:p>
          <w:p w14:paraId="56B95C73" w14:textId="419EAE3A" w:rsidR="002F5D0A" w:rsidRPr="00301D4F" w:rsidRDefault="002F5D0A" w:rsidP="00573DBD">
            <w:pPr>
              <w:rPr>
                <w:rFonts w:eastAsia="Times New Roman" w:cs="Arial"/>
                <w:b/>
                <w:sz w:val="24"/>
                <w:szCs w:val="24"/>
                <w:highlight w:val="yellow"/>
                <w:u w:val="single"/>
              </w:rPr>
            </w:pPr>
          </w:p>
        </w:tc>
      </w:tr>
      <w:tr w:rsidR="002F5D0A" w:rsidRPr="00301D4F" w14:paraId="17D97F89" w14:textId="77777777" w:rsidTr="00BF65A0">
        <w:trPr>
          <w:gridAfter w:val="1"/>
          <w:wAfter w:w="249" w:type="dxa"/>
          <w:trHeight w:val="232"/>
        </w:trPr>
        <w:tc>
          <w:tcPr>
            <w:tcW w:w="885" w:type="dxa"/>
            <w:gridSpan w:val="2"/>
          </w:tcPr>
          <w:p w14:paraId="0F354B2E" w14:textId="702D219B" w:rsidR="002F5D0A" w:rsidRPr="001F34C6" w:rsidRDefault="002F5D0A" w:rsidP="00573DBD">
            <w:pPr>
              <w:rPr>
                <w:rFonts w:eastAsia="Times New Roman" w:cs="Arial"/>
                <w:sz w:val="24"/>
                <w:szCs w:val="24"/>
              </w:rPr>
            </w:pPr>
            <w:r w:rsidRPr="001F34C6">
              <w:rPr>
                <w:rFonts w:eastAsia="Times New Roman" w:cs="Arial"/>
                <w:bCs/>
                <w:sz w:val="24"/>
                <w:szCs w:val="24"/>
              </w:rPr>
              <w:t>4.1</w:t>
            </w:r>
          </w:p>
        </w:tc>
        <w:tc>
          <w:tcPr>
            <w:tcW w:w="8931" w:type="dxa"/>
          </w:tcPr>
          <w:p w14:paraId="0A91D65E" w14:textId="0E6F2BC0" w:rsidR="002F5D0A" w:rsidRPr="001F34C6" w:rsidRDefault="002F5D0A" w:rsidP="00BD2B00">
            <w:pPr>
              <w:jc w:val="both"/>
              <w:rPr>
                <w:rFonts w:eastAsia="Times New Roman" w:cs="Arial"/>
                <w:bCs/>
                <w:sz w:val="24"/>
                <w:szCs w:val="24"/>
              </w:rPr>
            </w:pPr>
            <w:r w:rsidRPr="001F34C6">
              <w:rPr>
                <w:bCs/>
                <w:sz w:val="24"/>
                <w:szCs w:val="24"/>
              </w:rPr>
              <w:t>As risks crystalise the resulting pressures will be included within the revenue budget forecast.  A number of areas require further analysis to identify further pressures or opportunities.</w:t>
            </w:r>
          </w:p>
        </w:tc>
      </w:tr>
      <w:tr w:rsidR="002F5D0A" w:rsidRPr="00301D4F" w14:paraId="110D1AB4" w14:textId="77777777" w:rsidTr="00BF65A0">
        <w:trPr>
          <w:gridAfter w:val="1"/>
          <w:wAfter w:w="249" w:type="dxa"/>
          <w:trHeight w:val="232"/>
        </w:trPr>
        <w:tc>
          <w:tcPr>
            <w:tcW w:w="885" w:type="dxa"/>
            <w:gridSpan w:val="2"/>
          </w:tcPr>
          <w:p w14:paraId="4511B9F0" w14:textId="59EE22B7" w:rsidR="002F5D0A" w:rsidRPr="000677F0" w:rsidRDefault="002F5D0A" w:rsidP="00573DBD">
            <w:pPr>
              <w:rPr>
                <w:rFonts w:eastAsia="Times New Roman" w:cs="Arial"/>
                <w:bCs/>
                <w:sz w:val="24"/>
                <w:szCs w:val="24"/>
              </w:rPr>
            </w:pPr>
          </w:p>
        </w:tc>
        <w:tc>
          <w:tcPr>
            <w:tcW w:w="8931" w:type="dxa"/>
          </w:tcPr>
          <w:p w14:paraId="5416FDA2" w14:textId="1FB6A8A4" w:rsidR="002F5D0A" w:rsidRPr="000677F0" w:rsidRDefault="002F5D0A" w:rsidP="00D14A7F">
            <w:pPr>
              <w:jc w:val="both"/>
              <w:rPr>
                <w:rFonts w:eastAsia="Times New Roman" w:cs="Arial"/>
                <w:b/>
                <w:sz w:val="24"/>
                <w:szCs w:val="24"/>
              </w:rPr>
            </w:pPr>
          </w:p>
        </w:tc>
      </w:tr>
      <w:tr w:rsidR="002F5D0A" w:rsidRPr="00301D4F" w14:paraId="4B34075A" w14:textId="77777777" w:rsidTr="00BF65A0">
        <w:trPr>
          <w:gridAfter w:val="1"/>
          <w:wAfter w:w="249" w:type="dxa"/>
          <w:trHeight w:val="232"/>
        </w:trPr>
        <w:tc>
          <w:tcPr>
            <w:tcW w:w="885" w:type="dxa"/>
            <w:gridSpan w:val="2"/>
          </w:tcPr>
          <w:p w14:paraId="5408E588" w14:textId="3D704D1B" w:rsidR="002F5D0A" w:rsidRPr="001F34C6" w:rsidRDefault="002F5D0A" w:rsidP="00573DBD">
            <w:pPr>
              <w:rPr>
                <w:rFonts w:eastAsia="Times New Roman" w:cs="Arial"/>
                <w:sz w:val="24"/>
                <w:szCs w:val="24"/>
              </w:rPr>
            </w:pPr>
            <w:r w:rsidRPr="001F34C6">
              <w:rPr>
                <w:rFonts w:eastAsia="Times New Roman" w:cs="Arial"/>
                <w:bCs/>
                <w:sz w:val="24"/>
                <w:szCs w:val="24"/>
              </w:rPr>
              <w:t>4.2</w:t>
            </w:r>
          </w:p>
        </w:tc>
        <w:tc>
          <w:tcPr>
            <w:tcW w:w="8931" w:type="dxa"/>
          </w:tcPr>
          <w:p w14:paraId="184AE11F" w14:textId="100B34D8" w:rsidR="002F5D0A" w:rsidRPr="001F34C6" w:rsidRDefault="002F5D0A" w:rsidP="003C31E6">
            <w:pPr>
              <w:jc w:val="both"/>
              <w:rPr>
                <w:bCs/>
                <w:sz w:val="24"/>
                <w:szCs w:val="24"/>
              </w:rPr>
            </w:pPr>
            <w:r w:rsidRPr="001F34C6">
              <w:rPr>
                <w:bCs/>
                <w:sz w:val="24"/>
                <w:szCs w:val="24"/>
              </w:rPr>
              <w:t>SLT ha</w:t>
            </w:r>
            <w:r w:rsidR="00BF7470">
              <w:rPr>
                <w:bCs/>
                <w:sz w:val="24"/>
                <w:szCs w:val="24"/>
              </w:rPr>
              <w:t>s</w:t>
            </w:r>
            <w:r w:rsidRPr="001F34C6">
              <w:rPr>
                <w:bCs/>
                <w:sz w:val="24"/>
                <w:szCs w:val="24"/>
              </w:rPr>
              <w:t xml:space="preserve"> agreed the following controls are put in place for 2023/24:</w:t>
            </w:r>
          </w:p>
          <w:p w14:paraId="0BAB33B6" w14:textId="77777777" w:rsidR="002F5D0A" w:rsidRPr="001F34C6" w:rsidRDefault="002F5D0A" w:rsidP="00F232DF">
            <w:pPr>
              <w:pStyle w:val="ListParagraph"/>
              <w:numPr>
                <w:ilvl w:val="0"/>
                <w:numId w:val="19"/>
              </w:numPr>
              <w:jc w:val="both"/>
              <w:rPr>
                <w:bCs/>
                <w:sz w:val="24"/>
                <w:szCs w:val="24"/>
              </w:rPr>
            </w:pPr>
            <w:r w:rsidRPr="001F34C6">
              <w:rPr>
                <w:bCs/>
                <w:sz w:val="24"/>
                <w:szCs w:val="24"/>
              </w:rPr>
              <w:t>Workforce Planning Group will be used as a mechanism to:</w:t>
            </w:r>
          </w:p>
          <w:p w14:paraId="41EB919A" w14:textId="77777777" w:rsidR="002F5D0A" w:rsidRPr="001F34C6" w:rsidRDefault="002F5D0A" w:rsidP="00F232DF">
            <w:pPr>
              <w:pStyle w:val="ListParagraph"/>
              <w:jc w:val="both"/>
              <w:rPr>
                <w:bCs/>
                <w:sz w:val="24"/>
                <w:szCs w:val="24"/>
              </w:rPr>
            </w:pPr>
            <w:r w:rsidRPr="001F34C6">
              <w:rPr>
                <w:bCs/>
                <w:sz w:val="24"/>
                <w:szCs w:val="24"/>
              </w:rPr>
              <w:t>- Approve recruitment to all vacancies</w:t>
            </w:r>
          </w:p>
          <w:p w14:paraId="053D9B8A" w14:textId="77777777" w:rsidR="002F5D0A" w:rsidRPr="001F34C6" w:rsidRDefault="002F5D0A" w:rsidP="00F232DF">
            <w:pPr>
              <w:pStyle w:val="ListParagraph"/>
              <w:jc w:val="both"/>
              <w:rPr>
                <w:bCs/>
                <w:sz w:val="24"/>
                <w:szCs w:val="24"/>
              </w:rPr>
            </w:pPr>
            <w:r w:rsidRPr="001F34C6">
              <w:rPr>
                <w:bCs/>
                <w:sz w:val="24"/>
                <w:szCs w:val="24"/>
              </w:rPr>
              <w:t>- Approve the use of agency staff</w:t>
            </w:r>
          </w:p>
          <w:p w14:paraId="2784A166" w14:textId="77777777" w:rsidR="002F5D0A" w:rsidRPr="001F34C6" w:rsidRDefault="002F5D0A" w:rsidP="00F232DF">
            <w:pPr>
              <w:pStyle w:val="ListParagraph"/>
              <w:jc w:val="both"/>
              <w:rPr>
                <w:bCs/>
                <w:sz w:val="24"/>
                <w:szCs w:val="24"/>
              </w:rPr>
            </w:pPr>
            <w:r w:rsidRPr="001F34C6">
              <w:rPr>
                <w:bCs/>
                <w:sz w:val="24"/>
                <w:szCs w:val="24"/>
              </w:rPr>
              <w:t>- Have oversight of overtime spend (with a particular focus on Safer Communities &amp; Training)</w:t>
            </w:r>
          </w:p>
          <w:p w14:paraId="26309C99" w14:textId="77777777" w:rsidR="002F5D0A" w:rsidRPr="001F34C6" w:rsidRDefault="002F5D0A" w:rsidP="00F232DF">
            <w:pPr>
              <w:pStyle w:val="ListParagraph"/>
              <w:jc w:val="both"/>
              <w:rPr>
                <w:bCs/>
                <w:sz w:val="24"/>
                <w:szCs w:val="24"/>
              </w:rPr>
            </w:pPr>
            <w:r w:rsidRPr="001F34C6">
              <w:rPr>
                <w:bCs/>
                <w:sz w:val="24"/>
                <w:szCs w:val="24"/>
              </w:rPr>
              <w:t xml:space="preserve">- Review and agree forecasts for operational (grey book) strength. </w:t>
            </w:r>
          </w:p>
          <w:p w14:paraId="31F46B8E" w14:textId="77777777" w:rsidR="002F5D0A" w:rsidRPr="001F34C6" w:rsidRDefault="002F5D0A" w:rsidP="00DB0734">
            <w:pPr>
              <w:pStyle w:val="ListParagraph"/>
              <w:jc w:val="both"/>
              <w:rPr>
                <w:bCs/>
                <w:sz w:val="24"/>
                <w:szCs w:val="24"/>
              </w:rPr>
            </w:pPr>
          </w:p>
          <w:p w14:paraId="08CEF57D" w14:textId="77777777" w:rsidR="002F5D0A" w:rsidRPr="001F34C6" w:rsidRDefault="002F5D0A" w:rsidP="00F232DF">
            <w:pPr>
              <w:pStyle w:val="ListParagraph"/>
              <w:numPr>
                <w:ilvl w:val="0"/>
                <w:numId w:val="19"/>
              </w:numPr>
              <w:jc w:val="both"/>
              <w:rPr>
                <w:bCs/>
                <w:sz w:val="24"/>
                <w:szCs w:val="24"/>
              </w:rPr>
            </w:pPr>
            <w:r w:rsidRPr="001F34C6">
              <w:rPr>
                <w:bCs/>
                <w:sz w:val="24"/>
                <w:szCs w:val="24"/>
              </w:rPr>
              <w:t>Management of discretionary spend to be a key focus, with Finance Business Partners working with budget managers to review opportunities to manage underspends on non-pay spend in 2023/24 with particular focus on areas such as training, estates maintenance and equipment (IT and Engineering).</w:t>
            </w:r>
          </w:p>
          <w:p w14:paraId="745A6726" w14:textId="3B10AF0C" w:rsidR="002F5D0A" w:rsidRPr="001F34C6" w:rsidRDefault="002F5D0A" w:rsidP="00F60D17">
            <w:pPr>
              <w:jc w:val="both"/>
              <w:rPr>
                <w:rFonts w:eastAsia="Times New Roman" w:cs="Arial"/>
                <w:sz w:val="24"/>
                <w:szCs w:val="24"/>
              </w:rPr>
            </w:pPr>
          </w:p>
        </w:tc>
      </w:tr>
      <w:tr w:rsidR="002F5D0A" w:rsidRPr="00301D4F" w14:paraId="6F7D909B" w14:textId="77777777" w:rsidTr="00BF65A0">
        <w:trPr>
          <w:gridAfter w:val="1"/>
          <w:wAfter w:w="249" w:type="dxa"/>
          <w:trHeight w:val="232"/>
        </w:trPr>
        <w:tc>
          <w:tcPr>
            <w:tcW w:w="885" w:type="dxa"/>
            <w:gridSpan w:val="2"/>
          </w:tcPr>
          <w:p w14:paraId="45CF33D4" w14:textId="06AC7A28" w:rsidR="002F5D0A" w:rsidRPr="00301D4F" w:rsidRDefault="002F5D0A" w:rsidP="00573DBD">
            <w:pPr>
              <w:rPr>
                <w:rFonts w:eastAsia="Times New Roman" w:cs="Arial"/>
                <w:bCs/>
                <w:sz w:val="24"/>
                <w:szCs w:val="24"/>
                <w:highlight w:val="yellow"/>
              </w:rPr>
            </w:pPr>
          </w:p>
        </w:tc>
        <w:tc>
          <w:tcPr>
            <w:tcW w:w="8931" w:type="dxa"/>
          </w:tcPr>
          <w:p w14:paraId="390427F4" w14:textId="77893121" w:rsidR="002F5D0A" w:rsidRPr="00301D4F" w:rsidRDefault="002F5D0A" w:rsidP="008C4591">
            <w:pPr>
              <w:jc w:val="both"/>
              <w:rPr>
                <w:rFonts w:eastAsia="Times New Roman" w:cs="Arial"/>
                <w:b/>
                <w:sz w:val="24"/>
                <w:szCs w:val="24"/>
                <w:highlight w:val="yellow"/>
              </w:rPr>
            </w:pPr>
          </w:p>
        </w:tc>
      </w:tr>
      <w:tr w:rsidR="002F5D0A" w:rsidRPr="00301D4F" w14:paraId="02B555EB" w14:textId="77777777" w:rsidTr="00BF65A0">
        <w:trPr>
          <w:gridAfter w:val="1"/>
          <w:wAfter w:w="249" w:type="dxa"/>
          <w:trHeight w:val="232"/>
        </w:trPr>
        <w:tc>
          <w:tcPr>
            <w:tcW w:w="885" w:type="dxa"/>
            <w:gridSpan w:val="2"/>
          </w:tcPr>
          <w:p w14:paraId="3F89D7FA" w14:textId="21D6F76C" w:rsidR="002F5D0A" w:rsidRPr="00301D4F" w:rsidRDefault="002F5D0A" w:rsidP="00573DBD">
            <w:pPr>
              <w:rPr>
                <w:rFonts w:eastAsia="Times New Roman" w:cs="Arial"/>
                <w:bCs/>
                <w:sz w:val="24"/>
                <w:szCs w:val="24"/>
                <w:highlight w:val="yellow"/>
              </w:rPr>
            </w:pPr>
            <w:r w:rsidRPr="000677F0">
              <w:rPr>
                <w:rFonts w:eastAsia="Times New Roman" w:cs="Arial"/>
                <w:b/>
                <w:sz w:val="24"/>
                <w:szCs w:val="24"/>
              </w:rPr>
              <w:t>5.</w:t>
            </w:r>
          </w:p>
        </w:tc>
        <w:tc>
          <w:tcPr>
            <w:tcW w:w="8931" w:type="dxa"/>
          </w:tcPr>
          <w:p w14:paraId="4EDEA820" w14:textId="77777777" w:rsidR="002F5D0A" w:rsidRPr="000677F0" w:rsidRDefault="002F5D0A" w:rsidP="00BD2B00">
            <w:pPr>
              <w:jc w:val="both"/>
              <w:rPr>
                <w:b/>
                <w:sz w:val="24"/>
                <w:szCs w:val="24"/>
                <w:u w:val="single"/>
              </w:rPr>
            </w:pPr>
            <w:r w:rsidRPr="000677F0">
              <w:rPr>
                <w:b/>
                <w:sz w:val="24"/>
                <w:szCs w:val="24"/>
                <w:u w:val="single"/>
              </w:rPr>
              <w:t>SAVINGS PROGRAMME 2023/24</w:t>
            </w:r>
          </w:p>
          <w:p w14:paraId="262F6152" w14:textId="577DEA4A" w:rsidR="002F5D0A" w:rsidRPr="00301D4F" w:rsidRDefault="002F5D0A" w:rsidP="008C4591">
            <w:pPr>
              <w:jc w:val="both"/>
              <w:rPr>
                <w:rFonts w:eastAsia="Times New Roman" w:cs="Arial"/>
                <w:bCs/>
                <w:sz w:val="24"/>
                <w:szCs w:val="24"/>
                <w:highlight w:val="yellow"/>
              </w:rPr>
            </w:pPr>
          </w:p>
        </w:tc>
      </w:tr>
      <w:tr w:rsidR="002F5D0A" w:rsidRPr="00301D4F" w14:paraId="7301D362" w14:textId="77777777" w:rsidTr="00BF65A0">
        <w:trPr>
          <w:gridAfter w:val="1"/>
          <w:wAfter w:w="249" w:type="dxa"/>
          <w:trHeight w:val="232"/>
        </w:trPr>
        <w:tc>
          <w:tcPr>
            <w:tcW w:w="885" w:type="dxa"/>
            <w:gridSpan w:val="2"/>
          </w:tcPr>
          <w:p w14:paraId="0CED8F81" w14:textId="36133D93" w:rsidR="002F5D0A" w:rsidRPr="00301D4F" w:rsidRDefault="002F5D0A" w:rsidP="00573DBD">
            <w:pPr>
              <w:rPr>
                <w:rFonts w:eastAsia="Times New Roman" w:cs="Arial"/>
                <w:bCs/>
                <w:sz w:val="24"/>
                <w:szCs w:val="24"/>
                <w:highlight w:val="yellow"/>
              </w:rPr>
            </w:pPr>
            <w:r w:rsidRPr="00F40E3B">
              <w:rPr>
                <w:rFonts w:eastAsia="Times New Roman" w:cs="Arial"/>
                <w:sz w:val="24"/>
                <w:szCs w:val="24"/>
              </w:rPr>
              <w:t>5.1</w:t>
            </w:r>
          </w:p>
        </w:tc>
        <w:tc>
          <w:tcPr>
            <w:tcW w:w="8931" w:type="dxa"/>
          </w:tcPr>
          <w:p w14:paraId="1B2E0C58" w14:textId="77777777" w:rsidR="002F5D0A" w:rsidRPr="00F40E3B" w:rsidRDefault="002F5D0A" w:rsidP="001C3DCC">
            <w:pPr>
              <w:jc w:val="both"/>
              <w:rPr>
                <w:sz w:val="24"/>
                <w:szCs w:val="24"/>
              </w:rPr>
            </w:pPr>
            <w:r w:rsidRPr="00F40E3B">
              <w:rPr>
                <w:sz w:val="24"/>
                <w:szCs w:val="24"/>
              </w:rPr>
              <w:t xml:space="preserve">Appendix 2 summarises the net savings requirement 2023/24 of £1,295,000. Work is in ongoing with Service managers to identify and report actual delivery of savings compared to budgeted savings. </w:t>
            </w:r>
          </w:p>
          <w:p w14:paraId="10A7089B" w14:textId="3446E661" w:rsidR="002F5D0A" w:rsidRPr="00301D4F" w:rsidRDefault="002F5D0A" w:rsidP="008C4591">
            <w:pPr>
              <w:jc w:val="both"/>
              <w:rPr>
                <w:rFonts w:eastAsia="Times New Roman" w:cs="Arial"/>
                <w:bCs/>
                <w:sz w:val="24"/>
                <w:szCs w:val="24"/>
                <w:highlight w:val="yellow"/>
              </w:rPr>
            </w:pPr>
          </w:p>
        </w:tc>
      </w:tr>
      <w:tr w:rsidR="002F5D0A" w:rsidRPr="00301D4F" w14:paraId="4EFC0990" w14:textId="77777777" w:rsidTr="00BF65A0">
        <w:trPr>
          <w:gridAfter w:val="1"/>
          <w:wAfter w:w="249" w:type="dxa"/>
          <w:trHeight w:val="232"/>
        </w:trPr>
        <w:tc>
          <w:tcPr>
            <w:tcW w:w="885" w:type="dxa"/>
            <w:gridSpan w:val="2"/>
          </w:tcPr>
          <w:p w14:paraId="727CDE7A" w14:textId="147FF27F" w:rsidR="002F5D0A" w:rsidRPr="007C7CF3" w:rsidRDefault="002F5D0A" w:rsidP="00573DBD">
            <w:pPr>
              <w:rPr>
                <w:rFonts w:eastAsia="Times New Roman" w:cs="Arial"/>
                <w:bCs/>
                <w:sz w:val="24"/>
                <w:szCs w:val="24"/>
              </w:rPr>
            </w:pPr>
            <w:r w:rsidRPr="007C7CF3">
              <w:rPr>
                <w:rFonts w:eastAsia="Times New Roman" w:cs="Arial"/>
                <w:sz w:val="24"/>
                <w:szCs w:val="24"/>
              </w:rPr>
              <w:t>5.2</w:t>
            </w:r>
          </w:p>
        </w:tc>
        <w:tc>
          <w:tcPr>
            <w:tcW w:w="8931" w:type="dxa"/>
          </w:tcPr>
          <w:p w14:paraId="0B86A47E" w14:textId="77777777" w:rsidR="002F5D0A" w:rsidRPr="007C7CF3" w:rsidRDefault="002F5D0A" w:rsidP="00F45679">
            <w:pPr>
              <w:jc w:val="both"/>
              <w:rPr>
                <w:sz w:val="24"/>
                <w:szCs w:val="24"/>
              </w:rPr>
            </w:pPr>
            <w:r w:rsidRPr="007C7CF3">
              <w:rPr>
                <w:sz w:val="24"/>
                <w:szCs w:val="24"/>
              </w:rPr>
              <w:t xml:space="preserve">Current projections show we have delivered or are on course to deliver £1,230,000 (95%) of savings.  </w:t>
            </w:r>
          </w:p>
          <w:p w14:paraId="47612BA6" w14:textId="77777777" w:rsidR="002F5D0A" w:rsidRPr="007C7CF3" w:rsidRDefault="002F5D0A" w:rsidP="00CA029A">
            <w:pPr>
              <w:jc w:val="both"/>
              <w:rPr>
                <w:bCs/>
                <w:sz w:val="24"/>
                <w:szCs w:val="24"/>
              </w:rPr>
            </w:pPr>
          </w:p>
          <w:p w14:paraId="75D449C8" w14:textId="58597A8E" w:rsidR="002F5D0A" w:rsidRPr="007C7CF3" w:rsidRDefault="002F5D0A" w:rsidP="00225FFE">
            <w:pPr>
              <w:jc w:val="both"/>
              <w:rPr>
                <w:sz w:val="24"/>
                <w:szCs w:val="24"/>
              </w:rPr>
            </w:pPr>
            <w:r w:rsidRPr="007C7CF3">
              <w:rPr>
                <w:sz w:val="24"/>
                <w:szCs w:val="24"/>
              </w:rPr>
              <w:t xml:space="preserve">Procurement savings of £66,000 (£15,000 2023/24 and £51,000 prior year) </w:t>
            </w:r>
            <w:r w:rsidR="001F34C6" w:rsidRPr="007C7CF3">
              <w:rPr>
                <w:sz w:val="24"/>
                <w:szCs w:val="24"/>
              </w:rPr>
              <w:t>have not been allocated and are causing a pressure</w:t>
            </w:r>
            <w:r w:rsidR="00A54B0C" w:rsidRPr="007C7CF3">
              <w:rPr>
                <w:sz w:val="24"/>
                <w:szCs w:val="24"/>
              </w:rPr>
              <w:t>.  It has been agreed this saving will be removed as part of 2024/25 budget setting.</w:t>
            </w:r>
            <w:r w:rsidR="001F34C6" w:rsidRPr="007C7CF3">
              <w:rPr>
                <w:sz w:val="24"/>
                <w:szCs w:val="24"/>
              </w:rPr>
              <w:t xml:space="preserve"> </w:t>
            </w:r>
          </w:p>
          <w:p w14:paraId="6C1F6C9F" w14:textId="77777777" w:rsidR="002F5D0A" w:rsidRPr="007C7CF3" w:rsidRDefault="002F5D0A" w:rsidP="00225FFE">
            <w:pPr>
              <w:jc w:val="both"/>
              <w:rPr>
                <w:sz w:val="24"/>
                <w:szCs w:val="24"/>
              </w:rPr>
            </w:pPr>
          </w:p>
          <w:p w14:paraId="0C97106B" w14:textId="18F70E99" w:rsidR="002F5D0A" w:rsidRPr="007C7CF3" w:rsidRDefault="002F5D0A" w:rsidP="00225FFE">
            <w:pPr>
              <w:jc w:val="both"/>
              <w:rPr>
                <w:bCs/>
                <w:sz w:val="24"/>
                <w:szCs w:val="24"/>
              </w:rPr>
            </w:pPr>
            <w:r w:rsidRPr="007C7CF3">
              <w:rPr>
                <w:sz w:val="24"/>
                <w:szCs w:val="24"/>
              </w:rPr>
              <w:t xml:space="preserve">A pressure of £104,000 within Safer Communities (£50,000 2023/24 and £54,000 prior year) relating to CRM will be removed as part of budget setting for 2024/25.  The CRM project resulted in a reduction in 4 posts, however these budget </w:t>
            </w:r>
            <w:r w:rsidRPr="007C7CF3">
              <w:rPr>
                <w:sz w:val="24"/>
                <w:szCs w:val="24"/>
              </w:rPr>
              <w:lastRenderedPageBreak/>
              <w:t xml:space="preserve">reductions were not allocated correctly against CRM at the time.  There will be a further review through </w:t>
            </w:r>
            <w:r w:rsidR="00BF7470">
              <w:rPr>
                <w:sz w:val="24"/>
                <w:szCs w:val="24"/>
              </w:rPr>
              <w:t>Future Foundations</w:t>
            </w:r>
            <w:r w:rsidRPr="007C7CF3">
              <w:rPr>
                <w:sz w:val="24"/>
                <w:szCs w:val="24"/>
              </w:rPr>
              <w:t xml:space="preserve"> to identify any further efficiencies.</w:t>
            </w:r>
          </w:p>
          <w:p w14:paraId="3B6FE6F5" w14:textId="02D6B9AF" w:rsidR="002F5D0A" w:rsidRPr="007C7CF3" w:rsidRDefault="002F5D0A" w:rsidP="008C4591">
            <w:pPr>
              <w:jc w:val="both"/>
              <w:rPr>
                <w:rFonts w:eastAsia="Times New Roman" w:cs="Arial"/>
                <w:bCs/>
                <w:sz w:val="24"/>
                <w:szCs w:val="24"/>
              </w:rPr>
            </w:pPr>
          </w:p>
        </w:tc>
      </w:tr>
      <w:tr w:rsidR="002F5D0A" w:rsidRPr="00301D4F" w14:paraId="04D2D19F" w14:textId="77777777" w:rsidTr="00BF65A0">
        <w:trPr>
          <w:gridAfter w:val="1"/>
          <w:wAfter w:w="249" w:type="dxa"/>
          <w:trHeight w:val="232"/>
        </w:trPr>
        <w:tc>
          <w:tcPr>
            <w:tcW w:w="885" w:type="dxa"/>
            <w:gridSpan w:val="2"/>
          </w:tcPr>
          <w:p w14:paraId="7FF6F789" w14:textId="1A5D87B4" w:rsidR="002F5D0A" w:rsidRPr="00301D4F" w:rsidRDefault="002F5D0A" w:rsidP="00573DBD">
            <w:pPr>
              <w:rPr>
                <w:rFonts w:eastAsia="Times New Roman" w:cs="Arial"/>
                <w:bCs/>
                <w:sz w:val="24"/>
                <w:szCs w:val="24"/>
                <w:highlight w:val="yellow"/>
              </w:rPr>
            </w:pPr>
          </w:p>
        </w:tc>
        <w:tc>
          <w:tcPr>
            <w:tcW w:w="8931" w:type="dxa"/>
          </w:tcPr>
          <w:p w14:paraId="4F8DB74F" w14:textId="77777777" w:rsidR="002F5D0A" w:rsidRDefault="002F5D0A" w:rsidP="008C4591">
            <w:pPr>
              <w:jc w:val="both"/>
              <w:rPr>
                <w:rFonts w:eastAsia="Times New Roman" w:cs="Arial"/>
                <w:bCs/>
                <w:sz w:val="24"/>
                <w:szCs w:val="24"/>
                <w:highlight w:val="yellow"/>
              </w:rPr>
            </w:pPr>
          </w:p>
          <w:p w14:paraId="3F3120EE" w14:textId="77777777" w:rsidR="00506216" w:rsidRDefault="00506216" w:rsidP="008C4591">
            <w:pPr>
              <w:jc w:val="both"/>
              <w:rPr>
                <w:rFonts w:eastAsia="Times New Roman" w:cs="Arial"/>
                <w:bCs/>
                <w:sz w:val="24"/>
                <w:szCs w:val="24"/>
                <w:highlight w:val="yellow"/>
              </w:rPr>
            </w:pPr>
          </w:p>
          <w:p w14:paraId="4083369C" w14:textId="0ABE3CDA" w:rsidR="00506216" w:rsidRPr="00301D4F" w:rsidRDefault="00506216" w:rsidP="008C4591">
            <w:pPr>
              <w:jc w:val="both"/>
              <w:rPr>
                <w:rFonts w:eastAsia="Times New Roman" w:cs="Arial"/>
                <w:bCs/>
                <w:sz w:val="24"/>
                <w:szCs w:val="24"/>
                <w:highlight w:val="yellow"/>
              </w:rPr>
            </w:pPr>
          </w:p>
        </w:tc>
      </w:tr>
      <w:tr w:rsidR="002F5D0A" w:rsidRPr="00301D4F" w14:paraId="59F26826" w14:textId="77777777" w:rsidTr="00BF65A0">
        <w:trPr>
          <w:gridAfter w:val="1"/>
          <w:wAfter w:w="249" w:type="dxa"/>
          <w:trHeight w:val="232"/>
        </w:trPr>
        <w:tc>
          <w:tcPr>
            <w:tcW w:w="885" w:type="dxa"/>
            <w:gridSpan w:val="2"/>
          </w:tcPr>
          <w:p w14:paraId="0B950D1F" w14:textId="112BCC06" w:rsidR="002F5D0A" w:rsidRPr="00301D4F" w:rsidRDefault="002F5D0A" w:rsidP="00573DBD">
            <w:pPr>
              <w:rPr>
                <w:rFonts w:eastAsia="Times New Roman" w:cs="Arial"/>
                <w:bCs/>
                <w:sz w:val="24"/>
                <w:szCs w:val="24"/>
                <w:highlight w:val="yellow"/>
              </w:rPr>
            </w:pPr>
            <w:r w:rsidRPr="000677F0">
              <w:rPr>
                <w:rFonts w:eastAsia="Times New Roman" w:cs="Arial"/>
                <w:b/>
                <w:sz w:val="24"/>
                <w:szCs w:val="24"/>
              </w:rPr>
              <w:t>6.</w:t>
            </w:r>
          </w:p>
        </w:tc>
        <w:tc>
          <w:tcPr>
            <w:tcW w:w="8931" w:type="dxa"/>
          </w:tcPr>
          <w:p w14:paraId="583ECE88" w14:textId="77777777" w:rsidR="002F5D0A" w:rsidRPr="000677F0" w:rsidRDefault="002F5D0A" w:rsidP="009C66A9">
            <w:pPr>
              <w:jc w:val="both"/>
              <w:rPr>
                <w:b/>
                <w:sz w:val="24"/>
                <w:szCs w:val="24"/>
                <w:u w:val="single"/>
              </w:rPr>
            </w:pPr>
            <w:r w:rsidRPr="000677F0">
              <w:rPr>
                <w:b/>
                <w:sz w:val="24"/>
                <w:szCs w:val="24"/>
                <w:u w:val="single"/>
              </w:rPr>
              <w:t>GRANTS 2023/24</w:t>
            </w:r>
          </w:p>
          <w:p w14:paraId="7025170E" w14:textId="1E092E39" w:rsidR="002F5D0A" w:rsidRPr="00301D4F" w:rsidRDefault="002F5D0A" w:rsidP="008C4591">
            <w:pPr>
              <w:jc w:val="both"/>
              <w:rPr>
                <w:rFonts w:eastAsia="Times New Roman" w:cs="Arial"/>
                <w:b/>
                <w:color w:val="000000" w:themeColor="text1"/>
                <w:sz w:val="24"/>
                <w:szCs w:val="24"/>
                <w:highlight w:val="yellow"/>
              </w:rPr>
            </w:pPr>
          </w:p>
        </w:tc>
      </w:tr>
      <w:tr w:rsidR="002F5D0A" w:rsidRPr="00301D4F" w14:paraId="00FDE0B8" w14:textId="77777777" w:rsidTr="00BF65A0">
        <w:trPr>
          <w:gridAfter w:val="1"/>
          <w:wAfter w:w="249" w:type="dxa"/>
          <w:trHeight w:val="232"/>
        </w:trPr>
        <w:tc>
          <w:tcPr>
            <w:tcW w:w="885" w:type="dxa"/>
            <w:gridSpan w:val="2"/>
          </w:tcPr>
          <w:p w14:paraId="1153E3A8" w14:textId="3ED7897B" w:rsidR="002F5D0A" w:rsidRPr="00301D4F" w:rsidRDefault="002F5D0A" w:rsidP="00573DBD">
            <w:pPr>
              <w:rPr>
                <w:rFonts w:eastAsia="Times New Roman" w:cs="Arial"/>
                <w:bCs/>
                <w:sz w:val="24"/>
                <w:szCs w:val="24"/>
                <w:highlight w:val="yellow"/>
              </w:rPr>
            </w:pPr>
            <w:r w:rsidRPr="00497781">
              <w:rPr>
                <w:rFonts w:eastAsia="Times New Roman" w:cs="Arial"/>
                <w:sz w:val="24"/>
                <w:szCs w:val="24"/>
              </w:rPr>
              <w:t>6.1</w:t>
            </w:r>
          </w:p>
        </w:tc>
        <w:tc>
          <w:tcPr>
            <w:tcW w:w="8931" w:type="dxa"/>
          </w:tcPr>
          <w:p w14:paraId="6DC20B46" w14:textId="77777777" w:rsidR="002F5D0A" w:rsidRPr="00497781" w:rsidRDefault="002F5D0A" w:rsidP="00B83F79">
            <w:pPr>
              <w:jc w:val="both"/>
              <w:rPr>
                <w:rFonts w:eastAsia="Times New Roman" w:cs="Arial"/>
                <w:sz w:val="24"/>
                <w:szCs w:val="24"/>
              </w:rPr>
            </w:pPr>
            <w:r w:rsidRPr="00497781">
              <w:rPr>
                <w:rFonts w:eastAsia="Times New Roman" w:cs="Arial"/>
                <w:sz w:val="24"/>
                <w:szCs w:val="24"/>
              </w:rPr>
              <w:t xml:space="preserve">The Government has awarded grants for use on specific purposes and your officers will ensure these are delivered in accordance with grant conditions. These include grants awarded in year, brought forward from previous years where their spending plans fall over more than financial year and others that require development of spending plans.  The amount available </w:t>
            </w:r>
            <w:r w:rsidRPr="007C7CF3">
              <w:rPr>
                <w:rFonts w:eastAsia="Times New Roman" w:cs="Arial"/>
                <w:sz w:val="24"/>
                <w:szCs w:val="24"/>
              </w:rPr>
              <w:t>is £3.983m, as summarised in Appendix 3.</w:t>
            </w:r>
            <w:r w:rsidRPr="00497781">
              <w:rPr>
                <w:rFonts w:eastAsia="Times New Roman" w:cs="Arial"/>
                <w:sz w:val="24"/>
                <w:szCs w:val="24"/>
              </w:rPr>
              <w:t xml:space="preserve">  </w:t>
            </w:r>
          </w:p>
          <w:p w14:paraId="5A516E35" w14:textId="1D391E03" w:rsidR="002F5D0A" w:rsidRPr="00301D4F" w:rsidRDefault="002F5D0A" w:rsidP="00FA2717">
            <w:pPr>
              <w:jc w:val="both"/>
              <w:rPr>
                <w:rFonts w:eastAsia="Times New Roman" w:cs="Arial"/>
                <w:b/>
                <w:sz w:val="24"/>
                <w:szCs w:val="24"/>
                <w:highlight w:val="yellow"/>
              </w:rPr>
            </w:pPr>
          </w:p>
        </w:tc>
      </w:tr>
      <w:tr w:rsidR="002F5D0A" w:rsidRPr="00301D4F" w14:paraId="7D5C03D1" w14:textId="77777777" w:rsidTr="00BF65A0">
        <w:trPr>
          <w:gridAfter w:val="1"/>
          <w:wAfter w:w="249" w:type="dxa"/>
        </w:trPr>
        <w:tc>
          <w:tcPr>
            <w:tcW w:w="885" w:type="dxa"/>
            <w:gridSpan w:val="2"/>
          </w:tcPr>
          <w:p w14:paraId="44C1C0AC" w14:textId="0FE6B05E" w:rsidR="002F5D0A" w:rsidRPr="000677F0" w:rsidRDefault="002F5D0A" w:rsidP="00573DBD">
            <w:pPr>
              <w:rPr>
                <w:rFonts w:eastAsia="Times New Roman" w:cs="Arial"/>
                <w:sz w:val="24"/>
                <w:szCs w:val="24"/>
              </w:rPr>
            </w:pPr>
            <w:r w:rsidRPr="00F40E3B">
              <w:rPr>
                <w:rFonts w:eastAsia="Times New Roman" w:cs="Arial"/>
                <w:sz w:val="24"/>
                <w:szCs w:val="24"/>
              </w:rPr>
              <w:t>6.2</w:t>
            </w:r>
          </w:p>
        </w:tc>
        <w:tc>
          <w:tcPr>
            <w:tcW w:w="8931" w:type="dxa"/>
          </w:tcPr>
          <w:p w14:paraId="580971B5" w14:textId="2008C923" w:rsidR="002F5D0A" w:rsidRPr="000677F0" w:rsidRDefault="002F5D0A" w:rsidP="00447D1F">
            <w:pPr>
              <w:jc w:val="both"/>
              <w:rPr>
                <w:rFonts w:eastAsia="Times New Roman" w:cs="Arial"/>
                <w:sz w:val="24"/>
                <w:szCs w:val="24"/>
              </w:rPr>
            </w:pPr>
            <w:r w:rsidRPr="00F40E3B">
              <w:rPr>
                <w:rFonts w:eastAsia="Times New Roman" w:cs="Arial"/>
                <w:sz w:val="24"/>
                <w:szCs w:val="24"/>
              </w:rPr>
              <w:t>The latest grants are detailed below:</w:t>
            </w:r>
          </w:p>
        </w:tc>
      </w:tr>
      <w:tr w:rsidR="002F5D0A" w:rsidRPr="00301D4F" w14:paraId="436364F0" w14:textId="77777777" w:rsidTr="00BF65A0">
        <w:trPr>
          <w:gridAfter w:val="1"/>
          <w:wAfter w:w="249" w:type="dxa"/>
        </w:trPr>
        <w:tc>
          <w:tcPr>
            <w:tcW w:w="885" w:type="dxa"/>
            <w:gridSpan w:val="2"/>
          </w:tcPr>
          <w:p w14:paraId="4E0B6BAD" w14:textId="0C190608" w:rsidR="002F5D0A" w:rsidRPr="00F40E3B" w:rsidRDefault="002F5D0A" w:rsidP="00573DBD">
            <w:pPr>
              <w:rPr>
                <w:rFonts w:eastAsia="Times New Roman" w:cs="Arial"/>
                <w:sz w:val="24"/>
                <w:szCs w:val="24"/>
              </w:rPr>
            </w:pPr>
          </w:p>
        </w:tc>
        <w:tc>
          <w:tcPr>
            <w:tcW w:w="8931" w:type="dxa"/>
          </w:tcPr>
          <w:p w14:paraId="272EA457" w14:textId="37090ADE" w:rsidR="002F5D0A" w:rsidRPr="00F40E3B" w:rsidRDefault="002F5D0A" w:rsidP="00573DBD">
            <w:pPr>
              <w:rPr>
                <w:rFonts w:eastAsia="Times New Roman" w:cs="Arial"/>
                <w:sz w:val="24"/>
                <w:szCs w:val="24"/>
              </w:rPr>
            </w:pPr>
          </w:p>
        </w:tc>
      </w:tr>
      <w:tr w:rsidR="002F5D0A" w:rsidRPr="00301D4F" w14:paraId="24EF0DEA" w14:textId="77777777" w:rsidTr="00BF65A0">
        <w:trPr>
          <w:gridAfter w:val="1"/>
          <w:wAfter w:w="249" w:type="dxa"/>
        </w:trPr>
        <w:tc>
          <w:tcPr>
            <w:tcW w:w="885" w:type="dxa"/>
            <w:gridSpan w:val="2"/>
          </w:tcPr>
          <w:p w14:paraId="21D54FC1" w14:textId="70F2B5B2" w:rsidR="002F5D0A" w:rsidRPr="003F08A3" w:rsidRDefault="002F5D0A" w:rsidP="00573DBD">
            <w:pPr>
              <w:rPr>
                <w:rFonts w:eastAsia="Times New Roman" w:cs="Arial"/>
                <w:sz w:val="24"/>
                <w:szCs w:val="24"/>
              </w:rPr>
            </w:pPr>
            <w:r w:rsidRPr="003F08A3">
              <w:rPr>
                <w:rFonts w:eastAsia="Times New Roman" w:cs="Arial"/>
                <w:sz w:val="24"/>
                <w:szCs w:val="24"/>
              </w:rPr>
              <w:t>6.2.2</w:t>
            </w:r>
          </w:p>
        </w:tc>
        <w:tc>
          <w:tcPr>
            <w:tcW w:w="8931" w:type="dxa"/>
          </w:tcPr>
          <w:p w14:paraId="0F615B0F" w14:textId="7FD2DCB6" w:rsidR="002F5D0A" w:rsidRPr="003F08A3" w:rsidRDefault="002F5D0A" w:rsidP="00695CA2">
            <w:pPr>
              <w:jc w:val="both"/>
              <w:rPr>
                <w:rFonts w:eastAsia="Times New Roman" w:cs="Arial"/>
                <w:sz w:val="24"/>
                <w:szCs w:val="24"/>
              </w:rPr>
            </w:pPr>
            <w:r w:rsidRPr="003F08A3">
              <w:rPr>
                <w:rFonts w:eastAsia="Times New Roman" w:cs="Arial"/>
                <w:b/>
                <w:sz w:val="24"/>
                <w:szCs w:val="24"/>
              </w:rPr>
              <w:t xml:space="preserve">Surge Protection Grant Funding: – </w:t>
            </w:r>
            <w:r w:rsidRPr="003F08A3">
              <w:rPr>
                <w:rFonts w:eastAsia="Times New Roman" w:cs="Arial"/>
                <w:sz w:val="24"/>
                <w:szCs w:val="24"/>
              </w:rPr>
              <w:t>this is specifically to deal with inspections for high rise buildings and other high-risk buildings. The grant conditions have been received. A further allocation of £358,079 has been awarded for 2023/24. A spend plan has been developed to utilise this grant and it is expected £10</w:t>
            </w:r>
            <w:r w:rsidR="003F08A3" w:rsidRPr="003F08A3">
              <w:rPr>
                <w:rFonts w:eastAsia="Times New Roman" w:cs="Arial"/>
                <w:sz w:val="24"/>
                <w:szCs w:val="24"/>
              </w:rPr>
              <w:t>4</w:t>
            </w:r>
            <w:r w:rsidRPr="003F08A3">
              <w:rPr>
                <w:rFonts w:eastAsia="Times New Roman" w:cs="Arial"/>
                <w:sz w:val="24"/>
                <w:szCs w:val="24"/>
              </w:rPr>
              <w:t xml:space="preserve">,000 will be drawn down from the £125,645 brought forward from 2022/23.  </w:t>
            </w:r>
          </w:p>
        </w:tc>
      </w:tr>
      <w:tr w:rsidR="002F5D0A" w:rsidRPr="00301D4F" w14:paraId="54DECCAC" w14:textId="77777777" w:rsidTr="00BF65A0">
        <w:trPr>
          <w:gridAfter w:val="1"/>
          <w:wAfter w:w="249" w:type="dxa"/>
        </w:trPr>
        <w:tc>
          <w:tcPr>
            <w:tcW w:w="885" w:type="dxa"/>
            <w:gridSpan w:val="2"/>
          </w:tcPr>
          <w:p w14:paraId="7DE06CD9" w14:textId="433167EA" w:rsidR="002F5D0A" w:rsidRPr="00301D4F" w:rsidRDefault="002F5D0A" w:rsidP="00573DBD">
            <w:pPr>
              <w:rPr>
                <w:rFonts w:eastAsia="Times New Roman" w:cs="Arial"/>
                <w:sz w:val="24"/>
                <w:szCs w:val="24"/>
                <w:highlight w:val="yellow"/>
              </w:rPr>
            </w:pPr>
          </w:p>
        </w:tc>
        <w:tc>
          <w:tcPr>
            <w:tcW w:w="8931" w:type="dxa"/>
          </w:tcPr>
          <w:p w14:paraId="25BCBE57" w14:textId="596C4895" w:rsidR="002F5D0A" w:rsidRPr="00301D4F" w:rsidRDefault="002F5D0A" w:rsidP="00BD2B00">
            <w:pPr>
              <w:jc w:val="both"/>
              <w:rPr>
                <w:rFonts w:eastAsia="Times New Roman" w:cs="Arial"/>
                <w:bCs/>
                <w:sz w:val="24"/>
                <w:szCs w:val="24"/>
                <w:highlight w:val="yellow"/>
              </w:rPr>
            </w:pPr>
          </w:p>
        </w:tc>
      </w:tr>
      <w:tr w:rsidR="002F5D0A" w:rsidRPr="00301D4F" w14:paraId="0216D574" w14:textId="77777777" w:rsidTr="00BF65A0">
        <w:trPr>
          <w:gridAfter w:val="1"/>
          <w:wAfter w:w="249" w:type="dxa"/>
        </w:trPr>
        <w:tc>
          <w:tcPr>
            <w:tcW w:w="885" w:type="dxa"/>
            <w:gridSpan w:val="2"/>
          </w:tcPr>
          <w:p w14:paraId="3745EB0E" w14:textId="2A296E65" w:rsidR="002F5D0A" w:rsidRPr="000B7736" w:rsidRDefault="002F5D0A" w:rsidP="00573DBD">
            <w:pPr>
              <w:rPr>
                <w:rFonts w:eastAsia="Times New Roman" w:cs="Arial"/>
                <w:b/>
                <w:sz w:val="24"/>
                <w:szCs w:val="24"/>
              </w:rPr>
            </w:pPr>
            <w:r w:rsidRPr="000B7736">
              <w:rPr>
                <w:rFonts w:eastAsia="Times New Roman" w:cs="Arial"/>
                <w:sz w:val="24"/>
                <w:szCs w:val="24"/>
              </w:rPr>
              <w:t>6.2.4</w:t>
            </w:r>
          </w:p>
        </w:tc>
        <w:tc>
          <w:tcPr>
            <w:tcW w:w="8931" w:type="dxa"/>
          </w:tcPr>
          <w:p w14:paraId="127CF29C" w14:textId="77777777" w:rsidR="002F5D0A" w:rsidRPr="000B7736" w:rsidRDefault="002F5D0A" w:rsidP="009C66A9">
            <w:pPr>
              <w:jc w:val="both"/>
              <w:rPr>
                <w:rFonts w:cs="Arial"/>
                <w:bCs/>
                <w:sz w:val="24"/>
                <w:szCs w:val="24"/>
              </w:rPr>
            </w:pPr>
            <w:r w:rsidRPr="000B7736">
              <w:rPr>
                <w:rFonts w:cs="Arial"/>
                <w:b/>
                <w:sz w:val="24"/>
                <w:szCs w:val="24"/>
              </w:rPr>
              <w:t>Accreditation &amp; RPL Grant Funding</w:t>
            </w:r>
            <w:r w:rsidRPr="000B7736">
              <w:rPr>
                <w:rFonts w:cs="Arial"/>
                <w:bCs/>
                <w:sz w:val="24"/>
                <w:szCs w:val="24"/>
              </w:rPr>
              <w:t>: £22,737 is carried froward from 2022/23 for the purposes of accrediting fire protection officers and fire safety engineers.  It is anticipated this grant will be utilised over the next two years.</w:t>
            </w:r>
          </w:p>
          <w:p w14:paraId="105759A5" w14:textId="31F438B1" w:rsidR="002F5D0A" w:rsidRPr="000B7736" w:rsidRDefault="002F5D0A" w:rsidP="00BD2B00">
            <w:pPr>
              <w:jc w:val="both"/>
              <w:rPr>
                <w:b/>
                <w:sz w:val="24"/>
                <w:szCs w:val="24"/>
                <w:u w:val="single"/>
              </w:rPr>
            </w:pPr>
          </w:p>
        </w:tc>
      </w:tr>
      <w:tr w:rsidR="002F5D0A" w:rsidRPr="00301D4F" w14:paraId="0BC764DF" w14:textId="77777777" w:rsidTr="00BF65A0">
        <w:trPr>
          <w:gridAfter w:val="1"/>
          <w:wAfter w:w="249" w:type="dxa"/>
        </w:trPr>
        <w:tc>
          <w:tcPr>
            <w:tcW w:w="885" w:type="dxa"/>
            <w:gridSpan w:val="2"/>
          </w:tcPr>
          <w:p w14:paraId="133F3A1D" w14:textId="22BBCB8C" w:rsidR="002F5D0A" w:rsidRPr="00301D4F" w:rsidRDefault="002F5D0A" w:rsidP="00573DBD">
            <w:pPr>
              <w:rPr>
                <w:rFonts w:eastAsia="Times New Roman" w:cs="Arial"/>
                <w:bCs/>
                <w:sz w:val="24"/>
                <w:szCs w:val="24"/>
                <w:highlight w:val="yellow"/>
              </w:rPr>
            </w:pPr>
            <w:r w:rsidRPr="00F40E3B">
              <w:rPr>
                <w:rFonts w:eastAsia="Times New Roman" w:cs="Arial"/>
                <w:sz w:val="24"/>
                <w:szCs w:val="24"/>
              </w:rPr>
              <w:t>6.2.5</w:t>
            </w:r>
          </w:p>
        </w:tc>
        <w:tc>
          <w:tcPr>
            <w:tcW w:w="8931" w:type="dxa"/>
          </w:tcPr>
          <w:p w14:paraId="197C8876" w14:textId="77777777" w:rsidR="002F5D0A" w:rsidRPr="00F40E3B" w:rsidRDefault="002F5D0A" w:rsidP="009C66A9">
            <w:pPr>
              <w:jc w:val="both"/>
              <w:rPr>
                <w:sz w:val="24"/>
                <w:szCs w:val="24"/>
              </w:rPr>
            </w:pPr>
            <w:r w:rsidRPr="00F40E3B">
              <w:rPr>
                <w:b/>
                <w:sz w:val="24"/>
                <w:szCs w:val="24"/>
              </w:rPr>
              <w:t xml:space="preserve">Fire Fighter Pension Scheme: </w:t>
            </w:r>
            <w:r w:rsidRPr="00F40E3B">
              <w:rPr>
                <w:sz w:val="24"/>
                <w:szCs w:val="24"/>
              </w:rPr>
              <w:t>this is used towards the shortfall in employer’s pension contributions.</w:t>
            </w:r>
          </w:p>
          <w:p w14:paraId="7BA533F6" w14:textId="410C2191" w:rsidR="002F5D0A" w:rsidRPr="00301D4F" w:rsidRDefault="002F5D0A" w:rsidP="00882A0D">
            <w:pPr>
              <w:jc w:val="both"/>
              <w:rPr>
                <w:bCs/>
                <w:sz w:val="24"/>
                <w:szCs w:val="24"/>
                <w:highlight w:val="yellow"/>
              </w:rPr>
            </w:pPr>
          </w:p>
        </w:tc>
      </w:tr>
      <w:tr w:rsidR="002F5D0A" w:rsidRPr="00301D4F" w14:paraId="20B29DE7" w14:textId="77777777" w:rsidTr="00BF65A0">
        <w:trPr>
          <w:gridAfter w:val="1"/>
          <w:wAfter w:w="249" w:type="dxa"/>
        </w:trPr>
        <w:tc>
          <w:tcPr>
            <w:tcW w:w="885" w:type="dxa"/>
            <w:gridSpan w:val="2"/>
          </w:tcPr>
          <w:p w14:paraId="2BD117C2" w14:textId="65FA9FD1" w:rsidR="002F5D0A" w:rsidRPr="007E79F4" w:rsidRDefault="002F5D0A" w:rsidP="00573DBD">
            <w:pPr>
              <w:rPr>
                <w:rFonts w:eastAsia="Times New Roman" w:cs="Arial"/>
                <w:sz w:val="24"/>
                <w:szCs w:val="24"/>
              </w:rPr>
            </w:pPr>
            <w:r w:rsidRPr="007E79F4">
              <w:rPr>
                <w:rFonts w:eastAsia="Times New Roman" w:cs="Arial"/>
                <w:sz w:val="24"/>
                <w:szCs w:val="24"/>
              </w:rPr>
              <w:t>6.2.6</w:t>
            </w:r>
          </w:p>
        </w:tc>
        <w:tc>
          <w:tcPr>
            <w:tcW w:w="8931" w:type="dxa"/>
          </w:tcPr>
          <w:p w14:paraId="5AD1F7AE" w14:textId="3FF9319B" w:rsidR="002F5D0A" w:rsidRPr="007E79F4" w:rsidRDefault="002F5D0A" w:rsidP="009C66A9">
            <w:pPr>
              <w:jc w:val="both"/>
              <w:rPr>
                <w:bCs/>
                <w:sz w:val="24"/>
                <w:szCs w:val="24"/>
              </w:rPr>
            </w:pPr>
            <w:r w:rsidRPr="007E79F4">
              <w:rPr>
                <w:b/>
                <w:sz w:val="24"/>
                <w:szCs w:val="24"/>
              </w:rPr>
              <w:t>New Dimensions:</w:t>
            </w:r>
            <w:r w:rsidRPr="007E79F4">
              <w:rPr>
                <w:bCs/>
                <w:sz w:val="24"/>
                <w:szCs w:val="24"/>
              </w:rPr>
              <w:t xml:space="preserve"> £47,667 is carried forward from 2022/23 and additional £27,430 grant relates to 2023/24.  A spending plan has been developed and it is expected £54,231 will be spent this year, with the balance of £20,866 carried forward to 2024/25.  </w:t>
            </w:r>
          </w:p>
          <w:p w14:paraId="0F894898" w14:textId="23D138EC" w:rsidR="002F5D0A" w:rsidRPr="007E79F4" w:rsidRDefault="002F5D0A" w:rsidP="00F45679">
            <w:pPr>
              <w:jc w:val="both"/>
              <w:rPr>
                <w:sz w:val="24"/>
                <w:szCs w:val="24"/>
              </w:rPr>
            </w:pPr>
          </w:p>
        </w:tc>
      </w:tr>
      <w:tr w:rsidR="002F5D0A" w:rsidRPr="00301D4F" w14:paraId="0BD3444F" w14:textId="77777777" w:rsidTr="00BF65A0">
        <w:trPr>
          <w:gridAfter w:val="1"/>
          <w:wAfter w:w="249" w:type="dxa"/>
        </w:trPr>
        <w:tc>
          <w:tcPr>
            <w:tcW w:w="885" w:type="dxa"/>
            <w:gridSpan w:val="2"/>
          </w:tcPr>
          <w:p w14:paraId="003827C9" w14:textId="5CE6F1C0" w:rsidR="002F5D0A" w:rsidRPr="007E79F4" w:rsidRDefault="002F5D0A" w:rsidP="00573DBD">
            <w:pPr>
              <w:rPr>
                <w:rFonts w:eastAsia="Times New Roman" w:cs="Arial"/>
                <w:bCs/>
                <w:sz w:val="24"/>
                <w:szCs w:val="24"/>
              </w:rPr>
            </w:pPr>
            <w:r w:rsidRPr="007E79F4">
              <w:rPr>
                <w:rFonts w:eastAsia="Times New Roman" w:cs="Arial"/>
                <w:sz w:val="24"/>
                <w:szCs w:val="24"/>
              </w:rPr>
              <w:t>6.2.7</w:t>
            </w:r>
          </w:p>
        </w:tc>
        <w:tc>
          <w:tcPr>
            <w:tcW w:w="8931" w:type="dxa"/>
          </w:tcPr>
          <w:p w14:paraId="22D54D8F" w14:textId="125F5E7C" w:rsidR="002F5D0A" w:rsidRPr="007E79F4" w:rsidRDefault="002F5D0A" w:rsidP="001E1CF6">
            <w:pPr>
              <w:jc w:val="both"/>
              <w:rPr>
                <w:bCs/>
                <w:sz w:val="24"/>
                <w:szCs w:val="24"/>
              </w:rPr>
            </w:pPr>
            <w:r w:rsidRPr="007E79F4">
              <w:rPr>
                <w:b/>
                <w:sz w:val="24"/>
                <w:szCs w:val="24"/>
              </w:rPr>
              <w:t>Responding to New Risks:</w:t>
            </w:r>
            <w:r w:rsidRPr="007E79F4">
              <w:rPr>
                <w:bCs/>
                <w:sz w:val="24"/>
                <w:szCs w:val="24"/>
              </w:rPr>
              <w:t xml:space="preserve"> £31,355 is carried forward from 2022/23, and additional £6,500 grant relates to 2023/24.  A spending plan has been developed and it is expected £37,111 will be spent this year, with the balance of £744 carried forward to 2024/25.  </w:t>
            </w:r>
          </w:p>
          <w:p w14:paraId="055AEA18" w14:textId="496485FE" w:rsidR="002F5D0A" w:rsidRPr="007E79F4" w:rsidRDefault="002F5D0A" w:rsidP="00115C78">
            <w:pPr>
              <w:jc w:val="both"/>
              <w:rPr>
                <w:bCs/>
                <w:sz w:val="24"/>
                <w:szCs w:val="24"/>
              </w:rPr>
            </w:pPr>
          </w:p>
        </w:tc>
      </w:tr>
      <w:tr w:rsidR="002F5D0A" w:rsidRPr="00301D4F" w14:paraId="293FFA6D" w14:textId="77777777" w:rsidTr="00BF65A0">
        <w:trPr>
          <w:gridAfter w:val="1"/>
          <w:wAfter w:w="249" w:type="dxa"/>
        </w:trPr>
        <w:tc>
          <w:tcPr>
            <w:tcW w:w="885" w:type="dxa"/>
            <w:gridSpan w:val="2"/>
          </w:tcPr>
          <w:p w14:paraId="0832EAE9" w14:textId="51CF0A53" w:rsidR="002F5D0A" w:rsidRPr="00301D4F" w:rsidRDefault="002F5D0A" w:rsidP="00573DBD">
            <w:pPr>
              <w:rPr>
                <w:rFonts w:eastAsia="Times New Roman" w:cs="Arial"/>
                <w:bCs/>
                <w:sz w:val="24"/>
                <w:szCs w:val="24"/>
                <w:highlight w:val="yellow"/>
              </w:rPr>
            </w:pPr>
            <w:r w:rsidRPr="000677F0">
              <w:rPr>
                <w:rFonts w:eastAsia="Times New Roman" w:cs="Arial"/>
                <w:b/>
                <w:sz w:val="24"/>
                <w:szCs w:val="24"/>
              </w:rPr>
              <w:t>7.</w:t>
            </w:r>
          </w:p>
        </w:tc>
        <w:tc>
          <w:tcPr>
            <w:tcW w:w="8931" w:type="dxa"/>
          </w:tcPr>
          <w:p w14:paraId="0ECBEBD8" w14:textId="77777777" w:rsidR="002F5D0A" w:rsidRPr="000677F0" w:rsidRDefault="002F5D0A" w:rsidP="009C66A9">
            <w:pPr>
              <w:jc w:val="both"/>
              <w:rPr>
                <w:b/>
                <w:color w:val="000000" w:themeColor="text1"/>
                <w:sz w:val="24"/>
                <w:szCs w:val="24"/>
                <w:u w:val="single"/>
              </w:rPr>
            </w:pPr>
            <w:r w:rsidRPr="000677F0">
              <w:rPr>
                <w:b/>
                <w:color w:val="000000" w:themeColor="text1"/>
                <w:sz w:val="24"/>
                <w:szCs w:val="24"/>
                <w:u w:val="single"/>
              </w:rPr>
              <w:t>CONTINGENCY 2023/24</w:t>
            </w:r>
          </w:p>
          <w:p w14:paraId="246A9E19" w14:textId="1D32FB5F" w:rsidR="002F5D0A" w:rsidRPr="00301D4F" w:rsidRDefault="002F5D0A" w:rsidP="00BD2B00">
            <w:pPr>
              <w:jc w:val="both"/>
              <w:rPr>
                <w:bCs/>
                <w:sz w:val="24"/>
                <w:szCs w:val="24"/>
                <w:highlight w:val="yellow"/>
              </w:rPr>
            </w:pPr>
          </w:p>
        </w:tc>
      </w:tr>
      <w:tr w:rsidR="002F5D0A" w:rsidRPr="00301D4F" w14:paraId="10671A52" w14:textId="77777777" w:rsidTr="00BF65A0">
        <w:trPr>
          <w:gridAfter w:val="1"/>
          <w:wAfter w:w="249" w:type="dxa"/>
        </w:trPr>
        <w:tc>
          <w:tcPr>
            <w:tcW w:w="885" w:type="dxa"/>
            <w:gridSpan w:val="2"/>
          </w:tcPr>
          <w:p w14:paraId="17DB6977" w14:textId="2D208986" w:rsidR="002F5D0A" w:rsidRPr="00301D4F" w:rsidRDefault="002F5D0A" w:rsidP="00573DBD">
            <w:pPr>
              <w:rPr>
                <w:rFonts w:eastAsia="Times New Roman" w:cs="Arial"/>
                <w:bCs/>
                <w:sz w:val="24"/>
                <w:szCs w:val="24"/>
                <w:highlight w:val="yellow"/>
              </w:rPr>
            </w:pPr>
            <w:r w:rsidRPr="000677F0">
              <w:rPr>
                <w:rFonts w:eastAsia="Times New Roman" w:cs="Arial"/>
                <w:sz w:val="24"/>
                <w:szCs w:val="24"/>
              </w:rPr>
              <w:t>7.1</w:t>
            </w:r>
          </w:p>
        </w:tc>
        <w:tc>
          <w:tcPr>
            <w:tcW w:w="8931" w:type="dxa"/>
          </w:tcPr>
          <w:p w14:paraId="5448A728" w14:textId="77777777" w:rsidR="002F5D0A" w:rsidRPr="000677F0" w:rsidRDefault="002F5D0A" w:rsidP="009C66A9">
            <w:pPr>
              <w:jc w:val="both"/>
              <w:rPr>
                <w:rFonts w:eastAsia="Times New Roman" w:cs="Arial"/>
                <w:sz w:val="24"/>
                <w:szCs w:val="24"/>
              </w:rPr>
            </w:pPr>
            <w:r w:rsidRPr="000677F0">
              <w:rPr>
                <w:rFonts w:eastAsia="Times New Roman" w:cs="Arial"/>
                <w:sz w:val="24"/>
                <w:szCs w:val="24"/>
              </w:rPr>
              <w:t xml:space="preserve">The Fire Authority maintains a contingency in order to assist it in managing one-off unforeseen pressures and making investments within the financial year. At its meeting held in February 2023, the Fire Authority agreed a contingency of £533,000 for the 2023/24 financial year.  This included the general 2% inflation provision of £181,000 which has not been allocated out to relevant non pay spend budgets. </w:t>
            </w:r>
          </w:p>
          <w:p w14:paraId="5769C994" w14:textId="2CA4B9CD" w:rsidR="002F5D0A" w:rsidRPr="00301D4F" w:rsidRDefault="002F5D0A" w:rsidP="00B83F79">
            <w:pPr>
              <w:jc w:val="both"/>
              <w:rPr>
                <w:b/>
                <w:bCs/>
                <w:sz w:val="24"/>
                <w:szCs w:val="24"/>
                <w:highlight w:val="yellow"/>
              </w:rPr>
            </w:pPr>
          </w:p>
        </w:tc>
      </w:tr>
      <w:tr w:rsidR="002F5D0A" w:rsidRPr="00301D4F" w14:paraId="67784861" w14:textId="77777777" w:rsidTr="00BF65A0">
        <w:trPr>
          <w:gridAfter w:val="1"/>
          <w:wAfter w:w="249" w:type="dxa"/>
        </w:trPr>
        <w:tc>
          <w:tcPr>
            <w:tcW w:w="885" w:type="dxa"/>
            <w:gridSpan w:val="2"/>
          </w:tcPr>
          <w:p w14:paraId="2D57E7BC" w14:textId="254B7158" w:rsidR="002F5D0A" w:rsidRPr="007C7CF3" w:rsidRDefault="002F5D0A" w:rsidP="00573DBD">
            <w:pPr>
              <w:rPr>
                <w:rFonts w:eastAsia="Times New Roman" w:cs="Arial"/>
                <w:bCs/>
                <w:sz w:val="24"/>
                <w:szCs w:val="24"/>
              </w:rPr>
            </w:pPr>
            <w:r w:rsidRPr="007C7CF3">
              <w:rPr>
                <w:rFonts w:eastAsia="Times New Roman" w:cs="Arial"/>
                <w:sz w:val="24"/>
                <w:szCs w:val="24"/>
              </w:rPr>
              <w:t>7.2</w:t>
            </w:r>
          </w:p>
        </w:tc>
        <w:tc>
          <w:tcPr>
            <w:tcW w:w="8931" w:type="dxa"/>
          </w:tcPr>
          <w:p w14:paraId="5A47F3BE" w14:textId="77777777" w:rsidR="002F5D0A" w:rsidRPr="007C7CF3" w:rsidRDefault="002F5D0A" w:rsidP="00F529FD">
            <w:pPr>
              <w:jc w:val="both"/>
              <w:rPr>
                <w:rFonts w:eastAsia="Times New Roman" w:cs="Arial"/>
                <w:sz w:val="24"/>
                <w:szCs w:val="24"/>
              </w:rPr>
            </w:pPr>
            <w:r w:rsidRPr="007C7CF3">
              <w:rPr>
                <w:rFonts w:eastAsia="Times New Roman" w:cs="Arial"/>
                <w:sz w:val="24"/>
                <w:szCs w:val="24"/>
              </w:rPr>
              <w:t xml:space="preserve">The contingency increased by £336,000 as approved by SLT and brings the total amount available to £913,000.  </w:t>
            </w:r>
          </w:p>
          <w:p w14:paraId="155EA867" w14:textId="77777777" w:rsidR="002F5D0A" w:rsidRPr="007C7CF3" w:rsidRDefault="002F5D0A" w:rsidP="00F529FD">
            <w:pPr>
              <w:jc w:val="both"/>
              <w:rPr>
                <w:rFonts w:eastAsia="Times New Roman" w:cs="Arial"/>
                <w:sz w:val="24"/>
                <w:szCs w:val="24"/>
              </w:rPr>
            </w:pPr>
          </w:p>
          <w:p w14:paraId="6B6F2BDE" w14:textId="52B24F9B" w:rsidR="002F5D0A" w:rsidRPr="007C7CF3" w:rsidRDefault="002F5D0A" w:rsidP="00F529FD">
            <w:pPr>
              <w:jc w:val="both"/>
              <w:rPr>
                <w:rFonts w:eastAsia="Times New Roman" w:cs="Arial"/>
                <w:sz w:val="24"/>
                <w:szCs w:val="24"/>
              </w:rPr>
            </w:pPr>
            <w:r w:rsidRPr="007C7CF3">
              <w:rPr>
                <w:rFonts w:eastAsia="Times New Roman" w:cs="Arial"/>
                <w:sz w:val="24"/>
                <w:szCs w:val="24"/>
              </w:rPr>
              <w:t>Commitments approved to date total £</w:t>
            </w:r>
            <w:r w:rsidR="007C7CF3" w:rsidRPr="007C7CF3">
              <w:rPr>
                <w:rFonts w:eastAsia="Times New Roman" w:cs="Arial"/>
                <w:sz w:val="24"/>
                <w:szCs w:val="24"/>
              </w:rPr>
              <w:t>691</w:t>
            </w:r>
            <w:r w:rsidRPr="007C7CF3">
              <w:rPr>
                <w:rFonts w:eastAsia="Times New Roman" w:cs="Arial"/>
                <w:sz w:val="24"/>
                <w:szCs w:val="24"/>
              </w:rPr>
              <w:t>,000 for the grey</w:t>
            </w:r>
            <w:r w:rsidR="007C7CF3" w:rsidRPr="007C7CF3">
              <w:rPr>
                <w:rFonts w:eastAsia="Times New Roman" w:cs="Arial"/>
                <w:sz w:val="24"/>
                <w:szCs w:val="24"/>
              </w:rPr>
              <w:t xml:space="preserve"> and green</w:t>
            </w:r>
            <w:r w:rsidRPr="007C7CF3">
              <w:rPr>
                <w:rFonts w:eastAsia="Times New Roman" w:cs="Arial"/>
                <w:sz w:val="24"/>
                <w:szCs w:val="24"/>
              </w:rPr>
              <w:t xml:space="preserve"> book pay awar</w:t>
            </w:r>
            <w:r w:rsidR="007C7CF3" w:rsidRPr="007C7CF3">
              <w:rPr>
                <w:rFonts w:eastAsia="Times New Roman" w:cs="Arial"/>
                <w:sz w:val="24"/>
                <w:szCs w:val="24"/>
              </w:rPr>
              <w:t>ds</w:t>
            </w:r>
            <w:r w:rsidRPr="007C7CF3">
              <w:rPr>
                <w:rFonts w:eastAsia="Times New Roman" w:cs="Arial"/>
                <w:sz w:val="24"/>
                <w:szCs w:val="24"/>
              </w:rPr>
              <w:t>, leaving a contingency balance of £</w:t>
            </w:r>
            <w:r w:rsidR="007C7CF3" w:rsidRPr="007C7CF3">
              <w:rPr>
                <w:rFonts w:eastAsia="Times New Roman" w:cs="Arial"/>
                <w:sz w:val="24"/>
                <w:szCs w:val="24"/>
              </w:rPr>
              <w:t>22</w:t>
            </w:r>
            <w:r w:rsidRPr="007C7CF3">
              <w:rPr>
                <w:rFonts w:eastAsia="Times New Roman" w:cs="Arial"/>
                <w:sz w:val="24"/>
                <w:szCs w:val="24"/>
              </w:rPr>
              <w:t>2,000 as at the end of November as detailed in the table below:</w:t>
            </w:r>
          </w:p>
          <w:p w14:paraId="22F2C32F" w14:textId="77777777" w:rsidR="002F5D0A" w:rsidRPr="007C7CF3" w:rsidRDefault="002F5D0A" w:rsidP="00F529FD">
            <w:pPr>
              <w:jc w:val="both"/>
              <w:rPr>
                <w:rFonts w:eastAsia="Times New Roman" w:cs="Arial"/>
                <w:sz w:val="24"/>
                <w:szCs w:val="24"/>
              </w:rPr>
            </w:pPr>
          </w:p>
          <w:p w14:paraId="5636AC54" w14:textId="3DF0F881" w:rsidR="002F5D0A" w:rsidRPr="007C7CF3" w:rsidRDefault="007C7CF3" w:rsidP="00F529FD">
            <w:pPr>
              <w:jc w:val="both"/>
              <w:rPr>
                <w:rFonts w:eastAsia="Times New Roman" w:cs="Arial"/>
                <w:sz w:val="24"/>
                <w:szCs w:val="24"/>
              </w:rPr>
            </w:pPr>
            <w:r w:rsidRPr="007C7CF3">
              <w:rPr>
                <w:rFonts w:eastAsia="Times New Roman" w:cs="Arial"/>
                <w:noProof/>
                <w:sz w:val="24"/>
                <w:szCs w:val="24"/>
              </w:rPr>
              <w:drawing>
                <wp:inline distT="0" distB="0" distL="0" distR="0" wp14:anchorId="11826D3A" wp14:editId="4DB1ED7F">
                  <wp:extent cx="5681980" cy="27616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2761615"/>
                          </a:xfrm>
                          <a:prstGeom prst="rect">
                            <a:avLst/>
                          </a:prstGeom>
                          <a:noFill/>
                        </pic:spPr>
                      </pic:pic>
                    </a:graphicData>
                  </a:graphic>
                </wp:inline>
              </w:drawing>
            </w:r>
          </w:p>
          <w:p w14:paraId="2061EAC5" w14:textId="7C104F8B" w:rsidR="002F5D0A" w:rsidRPr="007C7CF3" w:rsidRDefault="002F5D0A" w:rsidP="00BD2B00">
            <w:pPr>
              <w:jc w:val="both"/>
              <w:rPr>
                <w:bCs/>
                <w:sz w:val="24"/>
                <w:szCs w:val="24"/>
              </w:rPr>
            </w:pPr>
          </w:p>
        </w:tc>
      </w:tr>
      <w:tr w:rsidR="002F5D0A" w:rsidRPr="00301D4F" w14:paraId="4E8E1A06" w14:textId="77777777" w:rsidTr="00BF65A0">
        <w:trPr>
          <w:gridAfter w:val="1"/>
          <w:wAfter w:w="249" w:type="dxa"/>
        </w:trPr>
        <w:tc>
          <w:tcPr>
            <w:tcW w:w="885" w:type="dxa"/>
            <w:gridSpan w:val="2"/>
          </w:tcPr>
          <w:p w14:paraId="04920126" w14:textId="73EA8CFE" w:rsidR="002F5D0A" w:rsidRPr="005E598B" w:rsidRDefault="002F5D0A" w:rsidP="00573DBD">
            <w:pPr>
              <w:rPr>
                <w:rFonts w:eastAsia="Times New Roman" w:cs="Arial"/>
                <w:sz w:val="24"/>
                <w:szCs w:val="24"/>
              </w:rPr>
            </w:pPr>
          </w:p>
        </w:tc>
        <w:tc>
          <w:tcPr>
            <w:tcW w:w="8931" w:type="dxa"/>
          </w:tcPr>
          <w:p w14:paraId="7042D263" w14:textId="77777777" w:rsidR="002F5D0A" w:rsidRPr="005E598B" w:rsidRDefault="002F5D0A" w:rsidP="00BD2B00">
            <w:pPr>
              <w:jc w:val="both"/>
              <w:rPr>
                <w:rFonts w:eastAsia="Times New Roman" w:cs="Arial"/>
                <w:b/>
                <w:sz w:val="24"/>
                <w:szCs w:val="24"/>
              </w:rPr>
            </w:pPr>
          </w:p>
        </w:tc>
      </w:tr>
      <w:tr w:rsidR="002F5D0A" w:rsidRPr="00301D4F" w14:paraId="69BE972A" w14:textId="77777777" w:rsidTr="00BF65A0">
        <w:trPr>
          <w:gridAfter w:val="1"/>
          <w:wAfter w:w="249" w:type="dxa"/>
        </w:trPr>
        <w:tc>
          <w:tcPr>
            <w:tcW w:w="885" w:type="dxa"/>
            <w:gridSpan w:val="2"/>
          </w:tcPr>
          <w:p w14:paraId="40C83074" w14:textId="082FE1FD" w:rsidR="002F5D0A" w:rsidRPr="00301D4F" w:rsidRDefault="002F5D0A" w:rsidP="00573DBD">
            <w:pPr>
              <w:rPr>
                <w:rFonts w:eastAsia="Times New Roman" w:cs="Arial"/>
                <w:sz w:val="24"/>
                <w:szCs w:val="24"/>
                <w:highlight w:val="yellow"/>
              </w:rPr>
            </w:pPr>
            <w:r w:rsidRPr="000677F0">
              <w:rPr>
                <w:rFonts w:eastAsia="Times New Roman" w:cs="Arial"/>
                <w:b/>
                <w:sz w:val="24"/>
                <w:szCs w:val="24"/>
              </w:rPr>
              <w:t>8.</w:t>
            </w:r>
          </w:p>
        </w:tc>
        <w:tc>
          <w:tcPr>
            <w:tcW w:w="8931" w:type="dxa"/>
          </w:tcPr>
          <w:p w14:paraId="2FFD682D" w14:textId="77777777" w:rsidR="002F5D0A" w:rsidRPr="000677F0" w:rsidRDefault="002F5D0A" w:rsidP="009C66A9">
            <w:pPr>
              <w:jc w:val="both"/>
              <w:rPr>
                <w:rFonts w:eastAsia="Times New Roman" w:cs="Arial"/>
                <w:color w:val="000000" w:themeColor="text1"/>
                <w:sz w:val="24"/>
                <w:szCs w:val="24"/>
              </w:rPr>
            </w:pPr>
            <w:r w:rsidRPr="000677F0">
              <w:rPr>
                <w:rFonts w:eastAsia="Times New Roman" w:cs="Arial"/>
                <w:b/>
                <w:color w:val="000000" w:themeColor="text1"/>
                <w:sz w:val="24"/>
                <w:szCs w:val="24"/>
                <w:u w:val="single"/>
              </w:rPr>
              <w:t>CAPITAL PROGRAMME COMMENTARY</w:t>
            </w:r>
          </w:p>
          <w:p w14:paraId="5AF7A695" w14:textId="342C8EBA" w:rsidR="002F5D0A" w:rsidRPr="00301D4F" w:rsidRDefault="002F5D0A" w:rsidP="00F60D17">
            <w:pPr>
              <w:jc w:val="both"/>
              <w:rPr>
                <w:rFonts w:eastAsia="Times New Roman" w:cs="Arial"/>
                <w:sz w:val="24"/>
                <w:szCs w:val="24"/>
                <w:highlight w:val="yellow"/>
              </w:rPr>
            </w:pPr>
          </w:p>
        </w:tc>
      </w:tr>
      <w:tr w:rsidR="002F5D0A" w:rsidRPr="00301D4F" w14:paraId="0A628DAD" w14:textId="77777777" w:rsidTr="00BF65A0">
        <w:trPr>
          <w:gridAfter w:val="1"/>
          <w:wAfter w:w="249" w:type="dxa"/>
        </w:trPr>
        <w:tc>
          <w:tcPr>
            <w:tcW w:w="885" w:type="dxa"/>
            <w:gridSpan w:val="2"/>
          </w:tcPr>
          <w:p w14:paraId="01F59E15" w14:textId="30F4B77D" w:rsidR="002F5D0A" w:rsidRPr="00301D4F" w:rsidRDefault="002F5D0A" w:rsidP="00573DBD">
            <w:pPr>
              <w:rPr>
                <w:rFonts w:eastAsia="Times New Roman" w:cs="Arial"/>
                <w:sz w:val="24"/>
                <w:szCs w:val="24"/>
                <w:highlight w:val="yellow"/>
              </w:rPr>
            </w:pPr>
            <w:r w:rsidRPr="0057393A">
              <w:rPr>
                <w:rFonts w:eastAsia="Times New Roman" w:cs="Arial"/>
                <w:sz w:val="24"/>
                <w:szCs w:val="24"/>
              </w:rPr>
              <w:t>8.1</w:t>
            </w:r>
          </w:p>
        </w:tc>
        <w:tc>
          <w:tcPr>
            <w:tcW w:w="8931" w:type="dxa"/>
          </w:tcPr>
          <w:p w14:paraId="372FFCD8" w14:textId="77777777" w:rsidR="002F5D0A" w:rsidRPr="0057393A" w:rsidRDefault="002F5D0A" w:rsidP="00BB0B89">
            <w:pPr>
              <w:jc w:val="both"/>
              <w:rPr>
                <w:rFonts w:eastAsia="Times New Roman" w:cs="Arial"/>
                <w:sz w:val="24"/>
                <w:szCs w:val="24"/>
              </w:rPr>
            </w:pPr>
            <w:r w:rsidRPr="0057393A">
              <w:rPr>
                <w:rFonts w:eastAsia="Times New Roman" w:cs="Arial"/>
                <w:sz w:val="24"/>
                <w:szCs w:val="24"/>
              </w:rPr>
              <w:t xml:space="preserve">The original 2023/24 Capital Budget and </w:t>
            </w:r>
            <w:proofErr w:type="gramStart"/>
            <w:r w:rsidRPr="0057393A">
              <w:rPr>
                <w:rFonts w:eastAsia="Times New Roman" w:cs="Arial"/>
                <w:sz w:val="24"/>
                <w:szCs w:val="24"/>
              </w:rPr>
              <w:t>five year</w:t>
            </w:r>
            <w:proofErr w:type="gramEnd"/>
            <w:r w:rsidRPr="0057393A">
              <w:rPr>
                <w:rFonts w:eastAsia="Times New Roman" w:cs="Arial"/>
                <w:sz w:val="24"/>
                <w:szCs w:val="24"/>
              </w:rPr>
              <w:t xml:space="preserve"> Capital Strategy of £28,280,000 was approved by the Fire Authority on 9 February 2023.  The Capital Strategy has been increased to £28,793,000 to include slippage of £975,000 and allocation of spend in advance of £462,000 from 2022/23.</w:t>
            </w:r>
          </w:p>
          <w:p w14:paraId="46BE3776" w14:textId="385FC430" w:rsidR="002F5D0A" w:rsidRPr="00301D4F" w:rsidRDefault="002F5D0A" w:rsidP="00F529FD">
            <w:pPr>
              <w:jc w:val="both"/>
              <w:rPr>
                <w:rFonts w:eastAsia="Times New Roman" w:cs="Arial"/>
                <w:sz w:val="24"/>
                <w:szCs w:val="24"/>
                <w:highlight w:val="yellow"/>
              </w:rPr>
            </w:pPr>
          </w:p>
        </w:tc>
      </w:tr>
      <w:tr w:rsidR="002F5D0A" w:rsidRPr="00301D4F" w14:paraId="665910A2" w14:textId="77777777" w:rsidTr="00BF65A0">
        <w:trPr>
          <w:gridAfter w:val="1"/>
          <w:wAfter w:w="249" w:type="dxa"/>
        </w:trPr>
        <w:tc>
          <w:tcPr>
            <w:tcW w:w="885" w:type="dxa"/>
            <w:gridSpan w:val="2"/>
          </w:tcPr>
          <w:p w14:paraId="6CF3D1CB" w14:textId="75136D70" w:rsidR="002F5D0A" w:rsidRPr="00950AC9" w:rsidRDefault="002F5D0A" w:rsidP="00573DBD">
            <w:pPr>
              <w:rPr>
                <w:rFonts w:eastAsia="Times New Roman" w:cs="Arial"/>
                <w:sz w:val="24"/>
                <w:szCs w:val="24"/>
              </w:rPr>
            </w:pPr>
            <w:r w:rsidRPr="00950AC9">
              <w:rPr>
                <w:rFonts w:eastAsia="Times New Roman" w:cs="Arial"/>
                <w:sz w:val="24"/>
                <w:szCs w:val="24"/>
              </w:rPr>
              <w:t>8.2</w:t>
            </w:r>
          </w:p>
        </w:tc>
        <w:tc>
          <w:tcPr>
            <w:tcW w:w="8931" w:type="dxa"/>
          </w:tcPr>
          <w:p w14:paraId="055A6856" w14:textId="7DC5AE63" w:rsidR="002F5D0A" w:rsidRPr="001409B7" w:rsidRDefault="002F5D0A" w:rsidP="009C66A9">
            <w:pPr>
              <w:jc w:val="both"/>
              <w:rPr>
                <w:rFonts w:eastAsia="Times New Roman" w:cs="Arial"/>
                <w:sz w:val="24"/>
                <w:szCs w:val="24"/>
                <w:highlight w:val="yellow"/>
              </w:rPr>
            </w:pPr>
            <w:r w:rsidRPr="00F852D5">
              <w:rPr>
                <w:rFonts w:eastAsia="Times New Roman" w:cs="Arial"/>
                <w:sz w:val="24"/>
                <w:szCs w:val="24"/>
              </w:rPr>
              <w:t>The Capital Programme is funded by: Capital Receipts Reserve £</w:t>
            </w:r>
            <w:r w:rsidR="00F852D5" w:rsidRPr="00F852D5">
              <w:rPr>
                <w:rFonts w:eastAsia="Times New Roman" w:cs="Arial"/>
                <w:sz w:val="24"/>
                <w:szCs w:val="24"/>
              </w:rPr>
              <w:t>626</w:t>
            </w:r>
            <w:r w:rsidRPr="00F852D5">
              <w:rPr>
                <w:rFonts w:eastAsia="Times New Roman" w:cs="Arial"/>
                <w:sz w:val="24"/>
                <w:szCs w:val="24"/>
              </w:rPr>
              <w:t>,000, Capital Programme Reserves £13,895,000, and New Borrowing £1</w:t>
            </w:r>
            <w:r w:rsidR="00F852D5" w:rsidRPr="00F852D5">
              <w:rPr>
                <w:rFonts w:eastAsia="Times New Roman" w:cs="Arial"/>
                <w:sz w:val="24"/>
                <w:szCs w:val="24"/>
              </w:rPr>
              <w:t>3</w:t>
            </w:r>
            <w:r w:rsidRPr="00F852D5">
              <w:rPr>
                <w:rFonts w:eastAsia="Times New Roman" w:cs="Arial"/>
                <w:sz w:val="24"/>
                <w:szCs w:val="24"/>
              </w:rPr>
              <w:t>,</w:t>
            </w:r>
            <w:r w:rsidR="00F852D5" w:rsidRPr="00F852D5">
              <w:rPr>
                <w:rFonts w:eastAsia="Times New Roman" w:cs="Arial"/>
                <w:sz w:val="24"/>
                <w:szCs w:val="24"/>
              </w:rPr>
              <w:t>794</w:t>
            </w:r>
            <w:r w:rsidRPr="00F852D5">
              <w:rPr>
                <w:rFonts w:eastAsia="Times New Roman" w:cs="Arial"/>
                <w:sz w:val="24"/>
                <w:szCs w:val="24"/>
              </w:rPr>
              <w:t xml:space="preserve">,000 as shown in the </w:t>
            </w:r>
            <w:r w:rsidRPr="009138C6">
              <w:rPr>
                <w:rFonts w:eastAsia="Times New Roman" w:cs="Arial"/>
                <w:sz w:val="24"/>
                <w:szCs w:val="24"/>
              </w:rPr>
              <w:t xml:space="preserve">table below. Overall, the revised </w:t>
            </w:r>
            <w:proofErr w:type="gramStart"/>
            <w:r w:rsidRPr="009138C6">
              <w:rPr>
                <w:rFonts w:eastAsia="Times New Roman" w:cs="Arial"/>
                <w:sz w:val="24"/>
                <w:szCs w:val="24"/>
              </w:rPr>
              <w:t>5 year</w:t>
            </w:r>
            <w:proofErr w:type="gramEnd"/>
            <w:r w:rsidRPr="009138C6">
              <w:rPr>
                <w:rFonts w:eastAsia="Times New Roman" w:cs="Arial"/>
                <w:sz w:val="24"/>
                <w:szCs w:val="24"/>
              </w:rPr>
              <w:t xml:space="preserve"> Capital Programme is forecasted to come in £</w:t>
            </w:r>
            <w:r w:rsidR="00950AC9" w:rsidRPr="009138C6">
              <w:rPr>
                <w:rFonts w:eastAsia="Times New Roman" w:cs="Arial"/>
                <w:sz w:val="24"/>
                <w:szCs w:val="24"/>
              </w:rPr>
              <w:t>478</w:t>
            </w:r>
            <w:r w:rsidRPr="009138C6">
              <w:rPr>
                <w:rFonts w:eastAsia="Times New Roman" w:cs="Arial"/>
                <w:sz w:val="24"/>
                <w:szCs w:val="24"/>
              </w:rPr>
              <w:t xml:space="preserve">,000 underspent.  </w:t>
            </w:r>
          </w:p>
          <w:p w14:paraId="78616E73" w14:textId="77777777" w:rsidR="002F5D0A" w:rsidRPr="001409B7" w:rsidRDefault="002F5D0A" w:rsidP="009C66A9">
            <w:pPr>
              <w:jc w:val="both"/>
              <w:rPr>
                <w:rFonts w:eastAsia="Times New Roman" w:cs="Arial"/>
                <w:sz w:val="24"/>
                <w:szCs w:val="24"/>
                <w:highlight w:val="yellow"/>
              </w:rPr>
            </w:pPr>
          </w:p>
          <w:p w14:paraId="649A6918" w14:textId="1D3F23A7" w:rsidR="00F852D5" w:rsidRPr="001409B7" w:rsidRDefault="00F852D5" w:rsidP="00925921">
            <w:pPr>
              <w:jc w:val="both"/>
              <w:rPr>
                <w:rFonts w:eastAsia="Times New Roman" w:cs="Arial"/>
                <w:sz w:val="24"/>
                <w:szCs w:val="24"/>
                <w:highlight w:val="yellow"/>
              </w:rPr>
            </w:pPr>
            <w:r w:rsidRPr="00F852D5">
              <w:rPr>
                <w:rFonts w:eastAsia="Times New Roman" w:cs="Arial"/>
                <w:noProof/>
                <w:sz w:val="24"/>
                <w:szCs w:val="24"/>
              </w:rPr>
              <w:drawing>
                <wp:inline distT="0" distB="0" distL="0" distR="0" wp14:anchorId="1479D3E7" wp14:editId="3062F75D">
                  <wp:extent cx="5423381" cy="305752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6306" cy="3059174"/>
                          </a:xfrm>
                          <a:prstGeom prst="rect">
                            <a:avLst/>
                          </a:prstGeom>
                          <a:noFill/>
                        </pic:spPr>
                      </pic:pic>
                    </a:graphicData>
                  </a:graphic>
                </wp:inline>
              </w:drawing>
            </w:r>
          </w:p>
          <w:p w14:paraId="60C450B5" w14:textId="16D65973" w:rsidR="002F5D0A" w:rsidRPr="001409B7" w:rsidRDefault="002F5D0A" w:rsidP="00B06496">
            <w:pPr>
              <w:jc w:val="both"/>
              <w:rPr>
                <w:rFonts w:eastAsia="Times New Roman" w:cs="Arial"/>
                <w:sz w:val="24"/>
                <w:szCs w:val="24"/>
                <w:highlight w:val="yellow"/>
              </w:rPr>
            </w:pPr>
          </w:p>
        </w:tc>
      </w:tr>
      <w:tr w:rsidR="002F5D0A" w:rsidRPr="00301D4F" w14:paraId="667C27D2" w14:textId="77777777" w:rsidTr="00BF65A0">
        <w:trPr>
          <w:gridAfter w:val="1"/>
          <w:wAfter w:w="249" w:type="dxa"/>
        </w:trPr>
        <w:tc>
          <w:tcPr>
            <w:tcW w:w="885" w:type="dxa"/>
            <w:gridSpan w:val="2"/>
          </w:tcPr>
          <w:p w14:paraId="68B10835" w14:textId="77DF568D" w:rsidR="002F5D0A" w:rsidRPr="00301D4F" w:rsidRDefault="002F5D0A" w:rsidP="00573DBD">
            <w:pPr>
              <w:rPr>
                <w:rFonts w:eastAsia="Times New Roman" w:cs="Arial"/>
                <w:sz w:val="24"/>
                <w:szCs w:val="24"/>
                <w:highlight w:val="yellow"/>
              </w:rPr>
            </w:pPr>
          </w:p>
        </w:tc>
        <w:tc>
          <w:tcPr>
            <w:tcW w:w="8931" w:type="dxa"/>
          </w:tcPr>
          <w:p w14:paraId="6A94B8A3" w14:textId="4149B0B8" w:rsidR="002F5D0A" w:rsidRPr="00301D4F" w:rsidRDefault="002F5D0A" w:rsidP="001E1CF6">
            <w:pPr>
              <w:jc w:val="both"/>
              <w:rPr>
                <w:rFonts w:eastAsia="Times New Roman" w:cs="Arial"/>
                <w:bCs/>
                <w:sz w:val="24"/>
                <w:szCs w:val="24"/>
                <w:highlight w:val="yellow"/>
              </w:rPr>
            </w:pPr>
          </w:p>
        </w:tc>
      </w:tr>
      <w:tr w:rsidR="002F5D0A" w:rsidRPr="00301D4F" w14:paraId="1BF8080F" w14:textId="77777777" w:rsidTr="00BF65A0">
        <w:trPr>
          <w:gridAfter w:val="1"/>
          <w:wAfter w:w="249" w:type="dxa"/>
        </w:trPr>
        <w:tc>
          <w:tcPr>
            <w:tcW w:w="885" w:type="dxa"/>
            <w:gridSpan w:val="2"/>
          </w:tcPr>
          <w:p w14:paraId="11296076" w14:textId="4E086771" w:rsidR="002F5D0A" w:rsidRPr="00301D4F" w:rsidRDefault="002F5D0A" w:rsidP="00573DBD">
            <w:pPr>
              <w:rPr>
                <w:rFonts w:eastAsia="Times New Roman" w:cs="Arial"/>
                <w:sz w:val="24"/>
                <w:szCs w:val="24"/>
                <w:highlight w:val="yellow"/>
              </w:rPr>
            </w:pPr>
            <w:r w:rsidRPr="0057393A">
              <w:rPr>
                <w:rFonts w:eastAsia="Times New Roman" w:cs="Arial"/>
                <w:sz w:val="24"/>
                <w:szCs w:val="24"/>
              </w:rPr>
              <w:lastRenderedPageBreak/>
              <w:t>8.3</w:t>
            </w:r>
          </w:p>
        </w:tc>
        <w:tc>
          <w:tcPr>
            <w:tcW w:w="8931" w:type="dxa"/>
          </w:tcPr>
          <w:p w14:paraId="33753C95" w14:textId="77777777" w:rsidR="002F5D0A" w:rsidRPr="0057393A" w:rsidRDefault="002F5D0A" w:rsidP="009C66A9">
            <w:pPr>
              <w:jc w:val="both"/>
              <w:rPr>
                <w:rFonts w:eastAsia="Times New Roman" w:cs="Arial"/>
                <w:sz w:val="24"/>
                <w:szCs w:val="24"/>
              </w:rPr>
            </w:pPr>
            <w:r w:rsidRPr="0057393A">
              <w:rPr>
                <w:rFonts w:eastAsia="Times New Roman" w:cs="Arial"/>
                <w:b/>
                <w:sz w:val="24"/>
                <w:szCs w:val="24"/>
              </w:rPr>
              <w:t>Capital Funding</w:t>
            </w:r>
            <w:r w:rsidRPr="0057393A">
              <w:rPr>
                <w:rFonts w:eastAsia="Times New Roman" w:cs="Arial"/>
                <w:sz w:val="24"/>
                <w:szCs w:val="24"/>
              </w:rPr>
              <w:t xml:space="preserve"> – The Service has also been successful in its bid for Community Infrastructure Levy (CIL) funding from Lewes District Council.  £289,000 has been awarded which will part fund the planned enhancements at Barcombe and Seaford Fire Stations, reducing the need for future borrowing.</w:t>
            </w:r>
          </w:p>
          <w:p w14:paraId="7B663B26" w14:textId="0A1B1D39" w:rsidR="002F5D0A" w:rsidRPr="00301D4F" w:rsidRDefault="002F5D0A" w:rsidP="003F0F0D">
            <w:pPr>
              <w:jc w:val="both"/>
              <w:rPr>
                <w:rFonts w:eastAsia="Times New Roman" w:cs="Arial"/>
                <w:sz w:val="24"/>
                <w:szCs w:val="24"/>
                <w:highlight w:val="yellow"/>
              </w:rPr>
            </w:pPr>
          </w:p>
        </w:tc>
      </w:tr>
      <w:tr w:rsidR="002F5D0A" w:rsidRPr="00301D4F" w14:paraId="76260FCC" w14:textId="77777777" w:rsidTr="00BF65A0">
        <w:trPr>
          <w:gridAfter w:val="1"/>
          <w:wAfter w:w="249" w:type="dxa"/>
        </w:trPr>
        <w:tc>
          <w:tcPr>
            <w:tcW w:w="885" w:type="dxa"/>
            <w:gridSpan w:val="2"/>
          </w:tcPr>
          <w:p w14:paraId="5FCB728C" w14:textId="672D9A34" w:rsidR="002F5D0A" w:rsidRPr="0057393A" w:rsidRDefault="002F5D0A" w:rsidP="00573DBD">
            <w:pPr>
              <w:rPr>
                <w:rFonts w:eastAsia="Times New Roman" w:cs="Arial"/>
                <w:sz w:val="24"/>
                <w:szCs w:val="24"/>
              </w:rPr>
            </w:pPr>
            <w:r w:rsidRPr="00F40E3B">
              <w:rPr>
                <w:rFonts w:eastAsia="Times New Roman" w:cs="Arial"/>
                <w:sz w:val="24"/>
                <w:szCs w:val="24"/>
              </w:rPr>
              <w:t>8.4</w:t>
            </w:r>
          </w:p>
        </w:tc>
        <w:tc>
          <w:tcPr>
            <w:tcW w:w="8931" w:type="dxa"/>
          </w:tcPr>
          <w:p w14:paraId="5B81B693" w14:textId="77777777" w:rsidR="002F5D0A" w:rsidRPr="00F40E3B" w:rsidRDefault="002F5D0A" w:rsidP="00010A4B">
            <w:pPr>
              <w:jc w:val="both"/>
              <w:rPr>
                <w:rFonts w:eastAsia="Times New Roman" w:cs="Arial"/>
                <w:sz w:val="24"/>
                <w:szCs w:val="24"/>
              </w:rPr>
            </w:pPr>
            <w:r w:rsidRPr="00F40E3B">
              <w:rPr>
                <w:rFonts w:eastAsia="Times New Roman" w:cs="Arial"/>
                <w:sz w:val="24"/>
                <w:szCs w:val="24"/>
              </w:rPr>
              <w:t xml:space="preserve">The </w:t>
            </w:r>
            <w:r w:rsidRPr="00F40E3B">
              <w:rPr>
                <w:rFonts w:eastAsia="Times New Roman" w:cs="Arial"/>
                <w:b/>
                <w:sz w:val="24"/>
                <w:szCs w:val="24"/>
              </w:rPr>
              <w:t>Capital Budget 2023/24</w:t>
            </w:r>
            <w:r w:rsidRPr="00F40E3B">
              <w:rPr>
                <w:rFonts w:eastAsia="Times New Roman" w:cs="Arial"/>
                <w:sz w:val="24"/>
                <w:szCs w:val="24"/>
              </w:rPr>
              <w:t xml:space="preserve"> was approved by the Fire Authority at £8,421,000 and updated to £8,934,000 (Property £5,655,000 and Fleet and Equipment £3,279,000) including slippage of £975,000 brought forward from 2022/23 and allocation of spend in advance of £462,000 from 2022/23. </w:t>
            </w:r>
          </w:p>
          <w:p w14:paraId="1AF64E49" w14:textId="76A9F9A3" w:rsidR="002F5D0A" w:rsidRPr="0057393A" w:rsidRDefault="002F5D0A" w:rsidP="00573DBD">
            <w:pPr>
              <w:rPr>
                <w:rFonts w:eastAsia="Times New Roman" w:cs="Arial"/>
                <w:sz w:val="24"/>
                <w:szCs w:val="24"/>
              </w:rPr>
            </w:pPr>
          </w:p>
        </w:tc>
      </w:tr>
      <w:tr w:rsidR="002F5D0A" w:rsidRPr="00301D4F" w14:paraId="501449B2" w14:textId="77777777" w:rsidTr="00BF65A0">
        <w:trPr>
          <w:gridAfter w:val="1"/>
          <w:wAfter w:w="249" w:type="dxa"/>
        </w:trPr>
        <w:tc>
          <w:tcPr>
            <w:tcW w:w="885" w:type="dxa"/>
            <w:gridSpan w:val="2"/>
          </w:tcPr>
          <w:p w14:paraId="59E852FD" w14:textId="0A46C03C" w:rsidR="002F5D0A" w:rsidRPr="00D2402B" w:rsidRDefault="002F5D0A" w:rsidP="00573DBD">
            <w:pPr>
              <w:rPr>
                <w:rFonts w:eastAsia="Times New Roman" w:cs="Arial"/>
                <w:sz w:val="24"/>
                <w:szCs w:val="24"/>
              </w:rPr>
            </w:pPr>
            <w:r w:rsidRPr="00D2402B">
              <w:rPr>
                <w:rFonts w:eastAsia="Times New Roman" w:cs="Arial"/>
                <w:sz w:val="24"/>
                <w:szCs w:val="24"/>
              </w:rPr>
              <w:t xml:space="preserve">8.5  </w:t>
            </w:r>
          </w:p>
        </w:tc>
        <w:tc>
          <w:tcPr>
            <w:tcW w:w="8931" w:type="dxa"/>
          </w:tcPr>
          <w:p w14:paraId="57496B6D" w14:textId="274EA94B" w:rsidR="002F5D0A" w:rsidRPr="00D2402B" w:rsidRDefault="002F5D0A" w:rsidP="00573DBD">
            <w:pPr>
              <w:rPr>
                <w:rFonts w:eastAsia="Times New Roman" w:cs="Arial"/>
                <w:sz w:val="24"/>
                <w:szCs w:val="24"/>
              </w:rPr>
            </w:pPr>
            <w:r w:rsidRPr="00D2402B">
              <w:rPr>
                <w:rFonts w:eastAsia="Times New Roman" w:cs="Arial"/>
                <w:sz w:val="24"/>
                <w:szCs w:val="24"/>
              </w:rPr>
              <w:t>A review of the 2023/24 capital budget by officers has identified slippage to the value of £</w:t>
            </w:r>
            <w:r w:rsidR="00D2402B" w:rsidRPr="00D2402B">
              <w:rPr>
                <w:rFonts w:eastAsia="Times New Roman" w:cs="Arial"/>
                <w:sz w:val="24"/>
                <w:szCs w:val="24"/>
              </w:rPr>
              <w:t>3</w:t>
            </w:r>
            <w:r w:rsidRPr="00D2402B">
              <w:rPr>
                <w:rFonts w:eastAsia="Times New Roman" w:cs="Arial"/>
                <w:sz w:val="24"/>
                <w:szCs w:val="24"/>
              </w:rPr>
              <w:t>,</w:t>
            </w:r>
            <w:r w:rsidR="00D2402B" w:rsidRPr="00D2402B">
              <w:rPr>
                <w:rFonts w:eastAsia="Times New Roman" w:cs="Arial"/>
                <w:sz w:val="24"/>
                <w:szCs w:val="24"/>
              </w:rPr>
              <w:t>911,</w:t>
            </w:r>
            <w:r w:rsidRPr="00D2402B">
              <w:rPr>
                <w:rFonts w:eastAsia="Times New Roman" w:cs="Arial"/>
                <w:sz w:val="24"/>
                <w:szCs w:val="24"/>
              </w:rPr>
              <w:t>000 (</w:t>
            </w:r>
            <w:r w:rsidR="00D2402B" w:rsidRPr="00D2402B">
              <w:rPr>
                <w:rFonts w:eastAsia="Times New Roman" w:cs="Arial"/>
                <w:sz w:val="24"/>
                <w:szCs w:val="24"/>
              </w:rPr>
              <w:t>46.4</w:t>
            </w:r>
            <w:r w:rsidRPr="00D2402B">
              <w:rPr>
                <w:rFonts w:eastAsia="Times New Roman" w:cs="Arial"/>
                <w:sz w:val="24"/>
                <w:szCs w:val="24"/>
              </w:rPr>
              <w:t>%) and spend in advance of £2</w:t>
            </w:r>
            <w:r w:rsidR="00D2402B" w:rsidRPr="00D2402B">
              <w:rPr>
                <w:rFonts w:eastAsia="Times New Roman" w:cs="Arial"/>
                <w:sz w:val="24"/>
                <w:szCs w:val="24"/>
              </w:rPr>
              <w:t>11</w:t>
            </w:r>
            <w:r w:rsidRPr="00D2402B">
              <w:rPr>
                <w:rFonts w:eastAsia="Times New Roman" w:cs="Arial"/>
                <w:sz w:val="24"/>
                <w:szCs w:val="24"/>
              </w:rPr>
              <w:t>,000.  There is additional underspend of £</w:t>
            </w:r>
            <w:r w:rsidR="00D2402B" w:rsidRPr="00D2402B">
              <w:rPr>
                <w:rFonts w:eastAsia="Times New Roman" w:cs="Arial"/>
                <w:sz w:val="24"/>
                <w:szCs w:val="24"/>
              </w:rPr>
              <w:t>4</w:t>
            </w:r>
            <w:r w:rsidRPr="00D2402B">
              <w:rPr>
                <w:rFonts w:eastAsia="Times New Roman" w:cs="Arial"/>
                <w:sz w:val="24"/>
                <w:szCs w:val="24"/>
              </w:rPr>
              <w:t>7</w:t>
            </w:r>
            <w:r w:rsidR="00D2402B" w:rsidRPr="00D2402B">
              <w:rPr>
                <w:rFonts w:eastAsia="Times New Roman" w:cs="Arial"/>
                <w:sz w:val="24"/>
                <w:szCs w:val="24"/>
              </w:rPr>
              <w:t>8</w:t>
            </w:r>
            <w:r w:rsidRPr="00D2402B">
              <w:rPr>
                <w:rFonts w:eastAsia="Times New Roman" w:cs="Arial"/>
                <w:sz w:val="24"/>
                <w:szCs w:val="24"/>
              </w:rPr>
              <w:t xml:space="preserve">,000 expected, as summarised in Appendix 4.  </w:t>
            </w:r>
          </w:p>
          <w:p w14:paraId="40C491A5" w14:textId="0ED6B053" w:rsidR="002F5D0A" w:rsidRPr="00D2402B" w:rsidRDefault="002F5D0A" w:rsidP="009C66A9">
            <w:pPr>
              <w:jc w:val="both"/>
              <w:rPr>
                <w:rFonts w:eastAsia="Times New Roman" w:cs="Arial"/>
                <w:sz w:val="24"/>
                <w:szCs w:val="24"/>
              </w:rPr>
            </w:pPr>
          </w:p>
        </w:tc>
      </w:tr>
      <w:tr w:rsidR="002F5D0A" w:rsidRPr="00301D4F" w14:paraId="6E89F34C" w14:textId="77777777" w:rsidTr="00BF65A0">
        <w:trPr>
          <w:gridAfter w:val="1"/>
          <w:wAfter w:w="249" w:type="dxa"/>
        </w:trPr>
        <w:tc>
          <w:tcPr>
            <w:tcW w:w="885" w:type="dxa"/>
            <w:gridSpan w:val="2"/>
          </w:tcPr>
          <w:p w14:paraId="4C1AD610" w14:textId="5EE4E75D" w:rsidR="002F5D0A" w:rsidRPr="00D3589D" w:rsidRDefault="002F5D0A" w:rsidP="00573DBD">
            <w:pPr>
              <w:rPr>
                <w:rFonts w:eastAsia="Times New Roman" w:cs="Arial"/>
                <w:sz w:val="24"/>
                <w:szCs w:val="24"/>
              </w:rPr>
            </w:pPr>
            <w:r w:rsidRPr="00D3589D">
              <w:rPr>
                <w:rFonts w:eastAsia="Times New Roman" w:cs="Arial"/>
                <w:sz w:val="24"/>
                <w:szCs w:val="24"/>
              </w:rPr>
              <w:t>8.5.1</w:t>
            </w:r>
          </w:p>
        </w:tc>
        <w:tc>
          <w:tcPr>
            <w:tcW w:w="8931" w:type="dxa"/>
          </w:tcPr>
          <w:p w14:paraId="0E8CB228" w14:textId="7720052C" w:rsidR="002F5D0A" w:rsidRPr="00D3589D" w:rsidRDefault="002F5D0A" w:rsidP="002F18FB">
            <w:pPr>
              <w:pStyle w:val="NormalWeb"/>
              <w:jc w:val="both"/>
              <w:rPr>
                <w:rFonts w:ascii="Arial" w:eastAsia="Times New Roman" w:hAnsi="Arial" w:cs="Arial"/>
                <w:lang w:eastAsia="en-US"/>
              </w:rPr>
            </w:pPr>
            <w:r w:rsidRPr="00D3589D">
              <w:rPr>
                <w:rFonts w:ascii="Arial" w:eastAsia="Times New Roman" w:hAnsi="Arial" w:cs="Arial"/>
                <w:lang w:eastAsia="en-US"/>
              </w:rPr>
              <w:t>The Estates / Property underspend is £</w:t>
            </w:r>
            <w:r w:rsidR="007E79F4" w:rsidRPr="00D3589D">
              <w:rPr>
                <w:rFonts w:ascii="Arial" w:eastAsia="Times New Roman" w:hAnsi="Arial" w:cs="Arial"/>
                <w:lang w:eastAsia="en-US"/>
              </w:rPr>
              <w:t>2</w:t>
            </w:r>
            <w:r w:rsidRPr="00D3589D">
              <w:rPr>
                <w:rFonts w:ascii="Arial" w:eastAsia="Times New Roman" w:hAnsi="Arial" w:cs="Arial"/>
                <w:lang w:eastAsia="en-US"/>
              </w:rPr>
              <w:t>,</w:t>
            </w:r>
            <w:r w:rsidR="007E79F4" w:rsidRPr="00D3589D">
              <w:rPr>
                <w:rFonts w:ascii="Arial" w:eastAsia="Times New Roman" w:hAnsi="Arial" w:cs="Arial"/>
                <w:lang w:eastAsia="en-US"/>
              </w:rPr>
              <w:t>985</w:t>
            </w:r>
            <w:r w:rsidRPr="00D3589D">
              <w:rPr>
                <w:rFonts w:ascii="Arial" w:eastAsia="Times New Roman" w:hAnsi="Arial" w:cs="Arial"/>
                <w:lang w:eastAsia="en-US"/>
              </w:rPr>
              <w:t>,000, of which £</w:t>
            </w:r>
            <w:r w:rsidR="007E79F4" w:rsidRPr="00D3589D">
              <w:rPr>
                <w:rFonts w:ascii="Arial" w:eastAsia="Times New Roman" w:hAnsi="Arial" w:cs="Arial"/>
                <w:lang w:eastAsia="en-US"/>
              </w:rPr>
              <w:t>3</w:t>
            </w:r>
            <w:r w:rsidRPr="00D3589D">
              <w:rPr>
                <w:rFonts w:ascii="Arial" w:eastAsia="Times New Roman" w:hAnsi="Arial" w:cs="Arial"/>
                <w:lang w:eastAsia="en-US"/>
              </w:rPr>
              <w:t>,</w:t>
            </w:r>
            <w:r w:rsidR="007E79F4" w:rsidRPr="00D3589D">
              <w:rPr>
                <w:rFonts w:ascii="Arial" w:eastAsia="Times New Roman" w:hAnsi="Arial" w:cs="Arial"/>
                <w:lang w:eastAsia="en-US"/>
              </w:rPr>
              <w:t>088</w:t>
            </w:r>
            <w:r w:rsidRPr="00D3589D">
              <w:rPr>
                <w:rFonts w:ascii="Arial" w:eastAsia="Times New Roman" w:hAnsi="Arial" w:cs="Arial"/>
                <w:lang w:eastAsia="en-US"/>
              </w:rPr>
              <w:t>,000 is slippage due to the reprioritisation and reprofiling of works and £10</w:t>
            </w:r>
            <w:r w:rsidR="007E79F4" w:rsidRPr="00D3589D">
              <w:rPr>
                <w:rFonts w:ascii="Arial" w:eastAsia="Times New Roman" w:hAnsi="Arial" w:cs="Arial"/>
                <w:lang w:eastAsia="en-US"/>
              </w:rPr>
              <w:t>3</w:t>
            </w:r>
            <w:r w:rsidRPr="00D3589D">
              <w:rPr>
                <w:rFonts w:ascii="Arial" w:eastAsia="Times New Roman" w:hAnsi="Arial" w:cs="Arial"/>
                <w:lang w:eastAsia="en-US"/>
              </w:rPr>
              <w:t xml:space="preserve">,000 relates to spend in advance.  Work has been delayed in relation to Preston Circus, </w:t>
            </w:r>
            <w:proofErr w:type="spellStart"/>
            <w:r w:rsidRPr="00D3589D">
              <w:rPr>
                <w:rFonts w:ascii="Arial" w:eastAsia="Times New Roman" w:hAnsi="Arial" w:cs="Arial"/>
                <w:lang w:eastAsia="en-US"/>
              </w:rPr>
              <w:t>Roedean</w:t>
            </w:r>
            <w:proofErr w:type="spellEnd"/>
            <w:r w:rsidRPr="00D3589D">
              <w:rPr>
                <w:rFonts w:ascii="Arial" w:eastAsia="Times New Roman" w:hAnsi="Arial" w:cs="Arial"/>
                <w:lang w:eastAsia="en-US"/>
              </w:rPr>
              <w:t xml:space="preserve">, Eastbourne, Bohemia Road, the four MPTH, Security, Sustainability, Training Towers, Bay Doors, Floors and IT Building works. </w:t>
            </w:r>
          </w:p>
          <w:p w14:paraId="469B5411" w14:textId="77777777" w:rsidR="002F5D0A" w:rsidRPr="00D3589D" w:rsidRDefault="002F5D0A" w:rsidP="002F18FB">
            <w:pPr>
              <w:pStyle w:val="NormalWeb"/>
              <w:jc w:val="both"/>
              <w:rPr>
                <w:rFonts w:ascii="Arial" w:eastAsia="Times New Roman" w:hAnsi="Arial" w:cs="Arial"/>
                <w:lang w:eastAsia="en-US"/>
              </w:rPr>
            </w:pPr>
          </w:p>
          <w:p w14:paraId="52EA9612" w14:textId="63B45E38" w:rsidR="00D3589D" w:rsidRPr="00D3589D" w:rsidRDefault="002F5D0A" w:rsidP="002F18FB">
            <w:pPr>
              <w:pStyle w:val="NormalWeb"/>
              <w:jc w:val="both"/>
              <w:rPr>
                <w:rFonts w:ascii="Arial" w:eastAsia="Times New Roman" w:hAnsi="Arial" w:cs="Arial"/>
                <w:lang w:eastAsia="en-US"/>
              </w:rPr>
            </w:pPr>
            <w:r w:rsidRPr="00D3589D">
              <w:rPr>
                <w:rFonts w:ascii="Arial" w:eastAsia="Times New Roman" w:hAnsi="Arial" w:cs="Arial"/>
                <w:lang w:eastAsia="en-US"/>
              </w:rPr>
              <w:t xml:space="preserve">The underspend has </w:t>
            </w:r>
            <w:r w:rsidR="00D3589D" w:rsidRPr="00D3589D">
              <w:rPr>
                <w:rFonts w:ascii="Arial" w:eastAsia="Times New Roman" w:hAnsi="Arial" w:cs="Arial"/>
                <w:lang w:eastAsia="en-US"/>
              </w:rPr>
              <w:t>reduced</w:t>
            </w:r>
            <w:r w:rsidRPr="00D3589D">
              <w:rPr>
                <w:rFonts w:ascii="Arial" w:eastAsia="Times New Roman" w:hAnsi="Arial" w:cs="Arial"/>
                <w:lang w:eastAsia="en-US"/>
              </w:rPr>
              <w:t xml:space="preserve"> by £1,</w:t>
            </w:r>
            <w:r w:rsidR="00D3589D" w:rsidRPr="00D3589D">
              <w:rPr>
                <w:rFonts w:ascii="Arial" w:eastAsia="Times New Roman" w:hAnsi="Arial" w:cs="Arial"/>
                <w:lang w:eastAsia="en-US"/>
              </w:rPr>
              <w:t>234</w:t>
            </w:r>
            <w:r w:rsidRPr="00D3589D">
              <w:rPr>
                <w:rFonts w:ascii="Arial" w:eastAsia="Times New Roman" w:hAnsi="Arial" w:cs="Arial"/>
                <w:lang w:eastAsia="en-US"/>
              </w:rPr>
              <w:t>,000 since P</w:t>
            </w:r>
            <w:r w:rsidR="00D3589D" w:rsidRPr="00D3589D">
              <w:rPr>
                <w:rFonts w:ascii="Arial" w:eastAsia="Times New Roman" w:hAnsi="Arial" w:cs="Arial"/>
                <w:lang w:eastAsia="en-US"/>
              </w:rPr>
              <w:t>6, which can be attributable to work at Preston Circus expected to start earlier than previously anticipated</w:t>
            </w:r>
            <w:r w:rsidR="00087526">
              <w:rPr>
                <w:rFonts w:ascii="Arial" w:eastAsia="Times New Roman" w:hAnsi="Arial" w:cs="Arial"/>
                <w:lang w:eastAsia="en-US"/>
              </w:rPr>
              <w:t xml:space="preserve"> against an increased scheme budget</w:t>
            </w:r>
            <w:r w:rsidR="00D3589D" w:rsidRPr="00D3589D">
              <w:rPr>
                <w:rFonts w:ascii="Arial" w:eastAsia="Times New Roman" w:hAnsi="Arial" w:cs="Arial"/>
                <w:lang w:eastAsia="en-US"/>
              </w:rPr>
              <w:t>, with a number of other smaller movements across the programme.</w:t>
            </w:r>
          </w:p>
          <w:p w14:paraId="3C930094" w14:textId="1CE87FC5" w:rsidR="002F5D0A" w:rsidRPr="00D3589D" w:rsidRDefault="002F5D0A" w:rsidP="00D3589D">
            <w:pPr>
              <w:pStyle w:val="NormalWeb"/>
              <w:jc w:val="both"/>
              <w:rPr>
                <w:rFonts w:eastAsia="Times New Roman" w:cs="Arial"/>
              </w:rPr>
            </w:pPr>
          </w:p>
        </w:tc>
      </w:tr>
      <w:tr w:rsidR="002F5D0A" w:rsidRPr="00301D4F" w14:paraId="651427DD" w14:textId="77777777" w:rsidTr="00BF65A0">
        <w:trPr>
          <w:gridAfter w:val="1"/>
          <w:wAfter w:w="249" w:type="dxa"/>
        </w:trPr>
        <w:tc>
          <w:tcPr>
            <w:tcW w:w="885" w:type="dxa"/>
            <w:gridSpan w:val="2"/>
          </w:tcPr>
          <w:p w14:paraId="1ED8CF25" w14:textId="27246226" w:rsidR="002F5D0A" w:rsidRPr="004A4349" w:rsidRDefault="002F5D0A" w:rsidP="00573DBD">
            <w:pPr>
              <w:rPr>
                <w:rFonts w:eastAsia="Times New Roman" w:cs="Arial"/>
                <w:sz w:val="24"/>
                <w:szCs w:val="24"/>
              </w:rPr>
            </w:pPr>
            <w:r w:rsidRPr="004A4349">
              <w:rPr>
                <w:rFonts w:eastAsia="Times New Roman" w:cs="Arial"/>
                <w:sz w:val="24"/>
                <w:szCs w:val="24"/>
              </w:rPr>
              <w:t>8.5.2</w:t>
            </w:r>
          </w:p>
        </w:tc>
        <w:tc>
          <w:tcPr>
            <w:tcW w:w="8931" w:type="dxa"/>
          </w:tcPr>
          <w:p w14:paraId="39D60D5E" w14:textId="5E0CF776" w:rsidR="002F5D0A" w:rsidRPr="004A4349" w:rsidRDefault="002F5D0A" w:rsidP="00BB185F">
            <w:pPr>
              <w:jc w:val="both"/>
              <w:rPr>
                <w:rFonts w:eastAsia="Times New Roman" w:cs="Arial"/>
                <w:sz w:val="24"/>
                <w:szCs w:val="24"/>
              </w:rPr>
            </w:pPr>
            <w:r w:rsidRPr="004A4349">
              <w:rPr>
                <w:rFonts w:eastAsia="Times New Roman" w:cs="Arial"/>
                <w:sz w:val="24"/>
                <w:szCs w:val="24"/>
              </w:rPr>
              <w:t>The Fleet underspend is £</w:t>
            </w:r>
            <w:r w:rsidR="00D3589D" w:rsidRPr="004A4349">
              <w:rPr>
                <w:rFonts w:eastAsia="Times New Roman" w:cs="Arial"/>
                <w:sz w:val="24"/>
                <w:szCs w:val="24"/>
              </w:rPr>
              <w:t>1,</w:t>
            </w:r>
            <w:r w:rsidRPr="004A4349">
              <w:rPr>
                <w:rFonts w:eastAsia="Times New Roman" w:cs="Arial"/>
                <w:sz w:val="24"/>
                <w:szCs w:val="24"/>
              </w:rPr>
              <w:t>193,000.  There is slippage of £</w:t>
            </w:r>
            <w:r w:rsidR="00D3589D" w:rsidRPr="004A4349">
              <w:rPr>
                <w:rFonts w:eastAsia="Times New Roman" w:cs="Arial"/>
                <w:sz w:val="24"/>
                <w:szCs w:val="24"/>
              </w:rPr>
              <w:t>823</w:t>
            </w:r>
            <w:r w:rsidRPr="004A4349">
              <w:rPr>
                <w:rFonts w:eastAsia="Times New Roman" w:cs="Arial"/>
                <w:sz w:val="24"/>
                <w:szCs w:val="24"/>
              </w:rPr>
              <w:t xml:space="preserve">,000, </w:t>
            </w:r>
            <w:r w:rsidR="004A4349" w:rsidRPr="004A4349">
              <w:rPr>
                <w:rFonts w:eastAsia="Times New Roman" w:cs="Arial"/>
                <w:sz w:val="24"/>
                <w:szCs w:val="24"/>
              </w:rPr>
              <w:t>re</w:t>
            </w:r>
            <w:r w:rsidR="00087526">
              <w:rPr>
                <w:rFonts w:eastAsia="Times New Roman" w:cs="Arial"/>
                <w:sz w:val="24"/>
                <w:szCs w:val="24"/>
              </w:rPr>
              <w:t>l</w:t>
            </w:r>
            <w:r w:rsidR="004A4349" w:rsidRPr="004A4349">
              <w:rPr>
                <w:rFonts w:eastAsia="Times New Roman" w:cs="Arial"/>
                <w:sz w:val="24"/>
                <w:szCs w:val="24"/>
              </w:rPr>
              <w:t>ating to 3 ancillary vehicles, 6 vans including t</w:t>
            </w:r>
            <w:r w:rsidRPr="004A4349">
              <w:rPr>
                <w:rFonts w:eastAsia="Times New Roman" w:cs="Arial"/>
                <w:sz w:val="24"/>
                <w:szCs w:val="24"/>
              </w:rPr>
              <w:t>he Fire Investigation and Hazmat vans,</w:t>
            </w:r>
            <w:r w:rsidR="004A4349" w:rsidRPr="004A4349">
              <w:rPr>
                <w:rFonts w:eastAsia="Times New Roman" w:cs="Arial"/>
                <w:sz w:val="24"/>
                <w:szCs w:val="24"/>
              </w:rPr>
              <w:t xml:space="preserve"> and</w:t>
            </w:r>
            <w:r w:rsidRPr="004A4349">
              <w:rPr>
                <w:rFonts w:eastAsia="Times New Roman" w:cs="Arial"/>
                <w:sz w:val="24"/>
                <w:szCs w:val="24"/>
              </w:rPr>
              <w:t xml:space="preserve"> £67,000 relates to a decision to pause the purchase of pool cars whilst a review is undertaken, with a further £35,000 relating to IRMP equipment.  Spend in advance of £12</w:t>
            </w:r>
            <w:r w:rsidR="00D3589D" w:rsidRPr="004A4349">
              <w:rPr>
                <w:rFonts w:eastAsia="Times New Roman" w:cs="Arial"/>
                <w:sz w:val="24"/>
                <w:szCs w:val="24"/>
              </w:rPr>
              <w:t>08</w:t>
            </w:r>
            <w:r w:rsidRPr="004A4349">
              <w:rPr>
                <w:rFonts w:eastAsia="Times New Roman" w:cs="Arial"/>
                <w:sz w:val="24"/>
                <w:szCs w:val="24"/>
              </w:rPr>
              <w:t>,000 relates to the water carrier, where budget was previously slipped to 2024/25 during budget setting.  Underspend of £</w:t>
            </w:r>
            <w:r w:rsidR="00D3589D" w:rsidRPr="004A4349">
              <w:rPr>
                <w:rFonts w:eastAsia="Times New Roman" w:cs="Arial"/>
                <w:sz w:val="24"/>
                <w:szCs w:val="24"/>
              </w:rPr>
              <w:t>4</w:t>
            </w:r>
            <w:r w:rsidRPr="004A4349">
              <w:rPr>
                <w:rFonts w:eastAsia="Times New Roman" w:cs="Arial"/>
                <w:sz w:val="24"/>
                <w:szCs w:val="24"/>
              </w:rPr>
              <w:t>7</w:t>
            </w:r>
            <w:r w:rsidR="00D3589D" w:rsidRPr="004A4349">
              <w:rPr>
                <w:rFonts w:eastAsia="Times New Roman" w:cs="Arial"/>
                <w:sz w:val="24"/>
                <w:szCs w:val="24"/>
              </w:rPr>
              <w:t>8</w:t>
            </w:r>
            <w:r w:rsidRPr="004A4349">
              <w:rPr>
                <w:rFonts w:eastAsia="Times New Roman" w:cs="Arial"/>
                <w:sz w:val="24"/>
                <w:szCs w:val="24"/>
              </w:rPr>
              <w:t xml:space="preserve">,000 relates to </w:t>
            </w:r>
            <w:r w:rsidR="004A4349" w:rsidRPr="004A4349">
              <w:rPr>
                <w:rFonts w:eastAsia="Times New Roman" w:cs="Arial"/>
                <w:sz w:val="24"/>
                <w:szCs w:val="24"/>
              </w:rPr>
              <w:t>six</w:t>
            </w:r>
            <w:r w:rsidRPr="004A4349">
              <w:rPr>
                <w:rFonts w:eastAsia="Times New Roman" w:cs="Arial"/>
                <w:sz w:val="24"/>
                <w:szCs w:val="24"/>
              </w:rPr>
              <w:t xml:space="preserve"> vehicle purchases, CCTV installation and equipment.</w:t>
            </w:r>
          </w:p>
          <w:p w14:paraId="04C5D3FF" w14:textId="77777777" w:rsidR="004A4349" w:rsidRPr="004A4349" w:rsidRDefault="004A4349" w:rsidP="00BB185F">
            <w:pPr>
              <w:jc w:val="both"/>
              <w:rPr>
                <w:rFonts w:eastAsia="Times New Roman" w:cs="Arial"/>
                <w:sz w:val="24"/>
                <w:szCs w:val="24"/>
              </w:rPr>
            </w:pPr>
          </w:p>
          <w:p w14:paraId="16BFE7DA" w14:textId="77777777" w:rsidR="002F5D0A" w:rsidRPr="004A4349" w:rsidRDefault="002F5D0A" w:rsidP="00BB185F">
            <w:pPr>
              <w:jc w:val="both"/>
              <w:rPr>
                <w:rFonts w:eastAsia="Times New Roman" w:cs="Arial"/>
                <w:sz w:val="24"/>
                <w:szCs w:val="24"/>
              </w:rPr>
            </w:pPr>
            <w:r w:rsidRPr="004A4349">
              <w:rPr>
                <w:rFonts w:eastAsia="Times New Roman" w:cs="Arial"/>
                <w:sz w:val="24"/>
                <w:szCs w:val="24"/>
              </w:rPr>
              <w:t>The forecast position includes the decision to capitalise 80% of the Vehicle Build Officer costs, however at this stage this is shown separately and will be allocated against projects in due course.</w:t>
            </w:r>
          </w:p>
          <w:p w14:paraId="5B2E5E20" w14:textId="77777777" w:rsidR="002F5D0A" w:rsidRPr="004A4349" w:rsidRDefault="002F5D0A" w:rsidP="00BB185F">
            <w:pPr>
              <w:jc w:val="both"/>
              <w:rPr>
                <w:rFonts w:eastAsia="Times New Roman" w:cs="Arial"/>
                <w:sz w:val="24"/>
                <w:szCs w:val="24"/>
              </w:rPr>
            </w:pPr>
          </w:p>
          <w:p w14:paraId="3D10B560" w14:textId="7A89DD2A" w:rsidR="008D67EB" w:rsidRDefault="002F5D0A" w:rsidP="00734D0D">
            <w:pPr>
              <w:pStyle w:val="NormalWeb"/>
              <w:jc w:val="both"/>
              <w:rPr>
                <w:rFonts w:ascii="Arial" w:eastAsia="Times New Roman" w:hAnsi="Arial" w:cs="Arial"/>
                <w:lang w:eastAsia="en-US"/>
              </w:rPr>
            </w:pPr>
            <w:r w:rsidRPr="004A4349">
              <w:rPr>
                <w:rFonts w:ascii="Arial" w:eastAsia="Times New Roman" w:hAnsi="Arial" w:cs="Arial"/>
                <w:lang w:eastAsia="en-US"/>
              </w:rPr>
              <w:t xml:space="preserve">The forecast spend has reduced by </w:t>
            </w:r>
            <w:r w:rsidR="004A4349" w:rsidRPr="004A4349">
              <w:rPr>
                <w:rFonts w:ascii="Arial" w:eastAsia="Times New Roman" w:hAnsi="Arial" w:cs="Arial"/>
                <w:lang w:eastAsia="en-US"/>
              </w:rPr>
              <w:t>£1,000,000 since P6</w:t>
            </w:r>
            <w:r w:rsidR="008D67EB">
              <w:rPr>
                <w:rFonts w:ascii="Arial" w:eastAsia="Times New Roman" w:hAnsi="Arial" w:cs="Arial"/>
                <w:lang w:eastAsia="en-US"/>
              </w:rPr>
              <w:t>.  Underspend of £371,000 relates to two aerial purchases which have now been completed.  Additional slippage of £646,000 relates to a number of vehicles, some of which will not now be delivered until the new financial year and some of which are as a result of the decision by SLT to extend the useful life of light fleet, thus deferring the replacement purchases.</w:t>
            </w:r>
          </w:p>
          <w:p w14:paraId="7E8F9355" w14:textId="03C16B82" w:rsidR="002F5D0A" w:rsidRPr="004A4349" w:rsidRDefault="002F5D0A" w:rsidP="008D67EB">
            <w:pPr>
              <w:pStyle w:val="NormalWeb"/>
              <w:jc w:val="both"/>
              <w:rPr>
                <w:rFonts w:eastAsia="Times New Roman" w:cs="Arial"/>
              </w:rPr>
            </w:pPr>
          </w:p>
        </w:tc>
      </w:tr>
      <w:tr w:rsidR="002F5D0A" w:rsidRPr="00301D4F" w14:paraId="776A1DB4" w14:textId="77777777" w:rsidTr="00BF65A0">
        <w:trPr>
          <w:gridAfter w:val="1"/>
          <w:wAfter w:w="249" w:type="dxa"/>
        </w:trPr>
        <w:tc>
          <w:tcPr>
            <w:tcW w:w="885" w:type="dxa"/>
            <w:gridSpan w:val="2"/>
          </w:tcPr>
          <w:p w14:paraId="2EAD0CEB" w14:textId="14C89351" w:rsidR="002F5D0A" w:rsidRPr="00301D4F" w:rsidRDefault="002F5D0A" w:rsidP="00573DBD">
            <w:pPr>
              <w:rPr>
                <w:rFonts w:eastAsia="Times New Roman" w:cs="Arial"/>
                <w:sz w:val="24"/>
                <w:szCs w:val="24"/>
                <w:highlight w:val="yellow"/>
              </w:rPr>
            </w:pPr>
            <w:r w:rsidRPr="000677F0">
              <w:rPr>
                <w:rFonts w:eastAsia="Times New Roman" w:cs="Arial"/>
                <w:b/>
                <w:sz w:val="24"/>
                <w:szCs w:val="24"/>
              </w:rPr>
              <w:t>9</w:t>
            </w:r>
          </w:p>
        </w:tc>
        <w:tc>
          <w:tcPr>
            <w:tcW w:w="8931" w:type="dxa"/>
          </w:tcPr>
          <w:p w14:paraId="3FD55D53" w14:textId="6DC853DA" w:rsidR="002F5D0A" w:rsidRPr="00301D4F" w:rsidRDefault="002F5D0A" w:rsidP="00573DBD">
            <w:pPr>
              <w:rPr>
                <w:rFonts w:eastAsia="Times New Roman" w:cs="Arial"/>
                <w:sz w:val="24"/>
                <w:szCs w:val="24"/>
                <w:highlight w:val="yellow"/>
              </w:rPr>
            </w:pPr>
            <w:r w:rsidRPr="0057393A">
              <w:rPr>
                <w:rFonts w:eastAsia="Times New Roman" w:cs="Arial"/>
                <w:b/>
                <w:color w:val="000000" w:themeColor="text1"/>
                <w:u w:val="single"/>
              </w:rPr>
              <w:t>IT STRATEGY 2023/24</w:t>
            </w:r>
          </w:p>
        </w:tc>
      </w:tr>
      <w:tr w:rsidR="002F5D0A" w:rsidRPr="00301D4F" w14:paraId="7E5A739C" w14:textId="77777777" w:rsidTr="00BF65A0">
        <w:trPr>
          <w:gridAfter w:val="1"/>
          <w:wAfter w:w="249" w:type="dxa"/>
        </w:trPr>
        <w:tc>
          <w:tcPr>
            <w:tcW w:w="885" w:type="dxa"/>
            <w:gridSpan w:val="2"/>
          </w:tcPr>
          <w:p w14:paraId="11CE5061" w14:textId="3945D2B3" w:rsidR="002F5D0A" w:rsidRPr="00301D4F" w:rsidRDefault="002F5D0A" w:rsidP="00573DBD">
            <w:pPr>
              <w:rPr>
                <w:rFonts w:eastAsia="Times New Roman" w:cs="Arial"/>
                <w:sz w:val="24"/>
                <w:szCs w:val="24"/>
                <w:highlight w:val="yellow"/>
              </w:rPr>
            </w:pPr>
          </w:p>
        </w:tc>
        <w:tc>
          <w:tcPr>
            <w:tcW w:w="8931" w:type="dxa"/>
          </w:tcPr>
          <w:p w14:paraId="32EE630B" w14:textId="46B0E449" w:rsidR="002F5D0A" w:rsidRPr="0057393A" w:rsidRDefault="002F5D0A" w:rsidP="0098403F">
            <w:pPr>
              <w:pStyle w:val="NormalWeb"/>
              <w:jc w:val="both"/>
              <w:rPr>
                <w:rFonts w:ascii="Arial" w:eastAsia="Times New Roman" w:hAnsi="Arial" w:cs="Arial"/>
                <w:highlight w:val="yellow"/>
              </w:rPr>
            </w:pPr>
          </w:p>
        </w:tc>
      </w:tr>
      <w:tr w:rsidR="002F5D0A" w:rsidRPr="00301D4F" w14:paraId="5A502835" w14:textId="77777777" w:rsidTr="00BF65A0">
        <w:trPr>
          <w:gridAfter w:val="1"/>
          <w:wAfter w:w="249" w:type="dxa"/>
        </w:trPr>
        <w:tc>
          <w:tcPr>
            <w:tcW w:w="885" w:type="dxa"/>
            <w:gridSpan w:val="2"/>
          </w:tcPr>
          <w:p w14:paraId="3EF7FD20" w14:textId="0B329466" w:rsidR="002F5D0A" w:rsidRPr="0086173B" w:rsidRDefault="002F5D0A" w:rsidP="00573DBD">
            <w:pPr>
              <w:rPr>
                <w:rFonts w:eastAsia="Times New Roman" w:cs="Arial"/>
                <w:sz w:val="24"/>
                <w:szCs w:val="24"/>
              </w:rPr>
            </w:pPr>
            <w:r w:rsidRPr="0086173B">
              <w:rPr>
                <w:rFonts w:eastAsia="Times New Roman" w:cs="Arial"/>
                <w:bCs/>
                <w:sz w:val="24"/>
                <w:szCs w:val="24"/>
              </w:rPr>
              <w:t>9.1</w:t>
            </w:r>
          </w:p>
        </w:tc>
        <w:tc>
          <w:tcPr>
            <w:tcW w:w="8931" w:type="dxa"/>
          </w:tcPr>
          <w:p w14:paraId="2E73B24C" w14:textId="13711D3F" w:rsidR="002F5D0A" w:rsidRPr="0086173B" w:rsidRDefault="002F5D0A" w:rsidP="007B3147">
            <w:pPr>
              <w:pStyle w:val="NormalWeb"/>
              <w:jc w:val="both"/>
              <w:rPr>
                <w:rFonts w:ascii="Arial" w:eastAsia="Times New Roman" w:hAnsi="Arial" w:cs="Arial"/>
              </w:rPr>
            </w:pPr>
            <w:r w:rsidRPr="0086173B">
              <w:rPr>
                <w:rFonts w:ascii="Arial" w:eastAsia="Times New Roman" w:hAnsi="Arial" w:cs="Arial"/>
              </w:rPr>
              <w:t>A review of the 2023/24 IT Strategy forecasts indicates a total of £2.</w:t>
            </w:r>
            <w:r w:rsidR="0086173B" w:rsidRPr="0086173B">
              <w:rPr>
                <w:rFonts w:ascii="Arial" w:eastAsia="Times New Roman" w:hAnsi="Arial" w:cs="Arial"/>
              </w:rPr>
              <w:t>030</w:t>
            </w:r>
            <w:r w:rsidRPr="0086173B">
              <w:rPr>
                <w:rFonts w:ascii="Arial" w:eastAsia="Times New Roman" w:hAnsi="Arial" w:cs="Arial"/>
              </w:rPr>
              <w:t xml:space="preserve">m will be drawn down from the reserve this year, against an original plan of £5.268m.  The main slippages relate to Process Digitisation (£301,000), ESN (£1.425m), </w:t>
            </w:r>
            <w:r w:rsidR="0086173B" w:rsidRPr="0086173B">
              <w:rPr>
                <w:rFonts w:ascii="Arial" w:eastAsia="Times New Roman" w:hAnsi="Arial" w:cs="Arial"/>
              </w:rPr>
              <w:t xml:space="preserve">Finance System Improvement/Replacement (£172,000), </w:t>
            </w:r>
            <w:r w:rsidRPr="0086173B">
              <w:rPr>
                <w:rFonts w:ascii="Arial" w:eastAsia="Times New Roman" w:hAnsi="Arial" w:cs="Arial"/>
              </w:rPr>
              <w:t xml:space="preserve">Health &amp; Safety system </w:t>
            </w:r>
            <w:r w:rsidRPr="0086173B">
              <w:rPr>
                <w:rFonts w:ascii="Arial" w:eastAsia="Times New Roman" w:hAnsi="Arial" w:cs="Arial"/>
              </w:rPr>
              <w:lastRenderedPageBreak/>
              <w:t xml:space="preserve">(£123,000), Pagers and </w:t>
            </w:r>
            <w:proofErr w:type="spellStart"/>
            <w:r w:rsidRPr="0086173B">
              <w:rPr>
                <w:rFonts w:ascii="Arial" w:eastAsia="Times New Roman" w:hAnsi="Arial" w:cs="Arial"/>
              </w:rPr>
              <w:t>Alerters</w:t>
            </w:r>
            <w:proofErr w:type="spellEnd"/>
            <w:r w:rsidRPr="0086173B">
              <w:rPr>
                <w:rFonts w:ascii="Arial" w:eastAsia="Times New Roman" w:hAnsi="Arial" w:cs="Arial"/>
              </w:rPr>
              <w:t xml:space="preserve"> (£428,000)</w:t>
            </w:r>
            <w:r w:rsidR="0086173B" w:rsidRPr="0086173B">
              <w:rPr>
                <w:rFonts w:ascii="Arial" w:eastAsia="Times New Roman" w:hAnsi="Arial" w:cs="Arial"/>
              </w:rPr>
              <w:t>,</w:t>
            </w:r>
            <w:r w:rsidRPr="0086173B">
              <w:rPr>
                <w:rFonts w:ascii="Arial" w:eastAsia="Times New Roman" w:hAnsi="Arial" w:cs="Arial"/>
              </w:rPr>
              <w:t xml:space="preserve"> Telephony (£270,000)</w:t>
            </w:r>
            <w:r w:rsidR="0086173B" w:rsidRPr="0086173B">
              <w:rPr>
                <w:rFonts w:ascii="Arial" w:eastAsia="Times New Roman" w:hAnsi="Arial" w:cs="Arial"/>
              </w:rPr>
              <w:t xml:space="preserve"> and Laptop </w:t>
            </w:r>
            <w:proofErr w:type="spellStart"/>
            <w:r w:rsidR="0086173B" w:rsidRPr="0086173B">
              <w:rPr>
                <w:rFonts w:ascii="Arial" w:eastAsia="Times New Roman" w:hAnsi="Arial" w:cs="Arial"/>
              </w:rPr>
              <w:t>Lifing</w:t>
            </w:r>
            <w:proofErr w:type="spellEnd"/>
            <w:r w:rsidR="0086173B" w:rsidRPr="0086173B">
              <w:rPr>
                <w:rFonts w:ascii="Arial" w:eastAsia="Times New Roman" w:hAnsi="Arial" w:cs="Arial"/>
              </w:rPr>
              <w:t xml:space="preserve"> (£250,000)</w:t>
            </w:r>
            <w:r w:rsidRPr="0086173B">
              <w:rPr>
                <w:rFonts w:ascii="Arial" w:eastAsia="Times New Roman" w:hAnsi="Arial" w:cs="Arial"/>
              </w:rPr>
              <w:t>.  The full breakdown can be seen in Appendix 7.</w:t>
            </w:r>
          </w:p>
          <w:p w14:paraId="278BCBA7" w14:textId="77777777" w:rsidR="002F5D0A" w:rsidRPr="0086173B" w:rsidRDefault="002F5D0A" w:rsidP="007B3147">
            <w:pPr>
              <w:pStyle w:val="NormalWeb"/>
              <w:jc w:val="both"/>
              <w:rPr>
                <w:rFonts w:ascii="Arial" w:eastAsia="Times New Roman" w:hAnsi="Arial" w:cs="Arial"/>
              </w:rPr>
            </w:pPr>
          </w:p>
          <w:p w14:paraId="2318AD15" w14:textId="539FD7E7" w:rsidR="0086173B" w:rsidRPr="0086173B" w:rsidRDefault="0086173B" w:rsidP="009C66A9">
            <w:pPr>
              <w:jc w:val="both"/>
              <w:rPr>
                <w:rFonts w:eastAsia="Times New Roman" w:cs="Arial"/>
                <w:sz w:val="24"/>
                <w:szCs w:val="24"/>
              </w:rPr>
            </w:pPr>
            <w:r w:rsidRPr="0086173B">
              <w:rPr>
                <w:rFonts w:eastAsia="Times New Roman" w:cs="Arial"/>
                <w:sz w:val="24"/>
                <w:szCs w:val="24"/>
              </w:rPr>
              <w:t xml:space="preserve">There has been a reduction of £262,000 since P6, which can be attributed to Finance </w:t>
            </w:r>
            <w:r w:rsidRPr="00753AD3">
              <w:rPr>
                <w:rFonts w:eastAsia="Times New Roman" w:cs="Arial"/>
                <w:sz w:val="24"/>
                <w:szCs w:val="24"/>
              </w:rPr>
              <w:t>System Improvement/Replacement (£172,000), Information Security (£56,000) and IT outsources re-tender (£34,000)</w:t>
            </w:r>
            <w:r w:rsidR="00753AD3" w:rsidRPr="00753AD3">
              <w:rPr>
                <w:rFonts w:eastAsia="Times New Roman" w:cs="Arial"/>
                <w:sz w:val="24"/>
                <w:szCs w:val="24"/>
              </w:rPr>
              <w:t xml:space="preserve"> due to project delays, with spend expected to be incurred in 2024/25 and 2025/2</w:t>
            </w:r>
            <w:r w:rsidR="00753AD3">
              <w:rPr>
                <w:rFonts w:eastAsia="Times New Roman" w:cs="Arial"/>
                <w:sz w:val="24"/>
                <w:szCs w:val="24"/>
              </w:rPr>
              <w:t>6</w:t>
            </w:r>
            <w:r w:rsidRPr="00753AD3">
              <w:rPr>
                <w:rFonts w:eastAsia="Times New Roman" w:cs="Arial"/>
                <w:sz w:val="24"/>
                <w:szCs w:val="24"/>
              </w:rPr>
              <w:t>.</w:t>
            </w:r>
            <w:r w:rsidR="00A66A4D" w:rsidRPr="00753AD3">
              <w:rPr>
                <w:rFonts w:eastAsia="Times New Roman" w:cs="Arial"/>
                <w:sz w:val="24"/>
                <w:szCs w:val="24"/>
              </w:rPr>
              <w:t xml:space="preserve">  </w:t>
            </w:r>
          </w:p>
          <w:p w14:paraId="4AB69A74" w14:textId="1C462C24" w:rsidR="002F5D0A" w:rsidRPr="0086173B" w:rsidRDefault="002F5D0A" w:rsidP="009C66A9">
            <w:pPr>
              <w:jc w:val="both"/>
              <w:rPr>
                <w:rFonts w:eastAsia="Times New Roman" w:cs="Arial"/>
                <w:sz w:val="24"/>
                <w:szCs w:val="24"/>
              </w:rPr>
            </w:pPr>
          </w:p>
        </w:tc>
      </w:tr>
      <w:tr w:rsidR="002F5D0A" w:rsidRPr="00301D4F" w14:paraId="62C25F32" w14:textId="77777777" w:rsidTr="00BF65A0">
        <w:trPr>
          <w:gridAfter w:val="1"/>
          <w:wAfter w:w="249" w:type="dxa"/>
        </w:trPr>
        <w:tc>
          <w:tcPr>
            <w:tcW w:w="885" w:type="dxa"/>
            <w:gridSpan w:val="2"/>
          </w:tcPr>
          <w:p w14:paraId="514A34CE" w14:textId="08736AB1" w:rsidR="002F5D0A" w:rsidRPr="00301D4F" w:rsidRDefault="002F5D0A" w:rsidP="00573DBD">
            <w:pPr>
              <w:rPr>
                <w:rFonts w:eastAsia="Times New Roman" w:cs="Arial"/>
                <w:sz w:val="24"/>
                <w:szCs w:val="24"/>
                <w:highlight w:val="yellow"/>
              </w:rPr>
            </w:pPr>
            <w:r w:rsidRPr="000677F0">
              <w:rPr>
                <w:rFonts w:eastAsia="Times New Roman" w:cs="Arial"/>
                <w:b/>
                <w:sz w:val="24"/>
                <w:szCs w:val="24"/>
              </w:rPr>
              <w:lastRenderedPageBreak/>
              <w:t>10</w:t>
            </w:r>
          </w:p>
        </w:tc>
        <w:tc>
          <w:tcPr>
            <w:tcW w:w="8931" w:type="dxa"/>
          </w:tcPr>
          <w:p w14:paraId="4ED0B82E" w14:textId="77777777" w:rsidR="002F5D0A" w:rsidRPr="000677F0" w:rsidRDefault="002F5D0A" w:rsidP="0092593E">
            <w:pPr>
              <w:jc w:val="both"/>
              <w:rPr>
                <w:rFonts w:eastAsia="Times New Roman" w:cs="Arial"/>
                <w:b/>
                <w:color w:val="000000" w:themeColor="text1"/>
                <w:sz w:val="24"/>
                <w:szCs w:val="24"/>
                <w:u w:val="single"/>
              </w:rPr>
            </w:pPr>
            <w:r w:rsidRPr="000677F0">
              <w:rPr>
                <w:rFonts w:eastAsia="Times New Roman" w:cs="Arial"/>
                <w:b/>
                <w:color w:val="000000" w:themeColor="text1"/>
                <w:sz w:val="24"/>
                <w:szCs w:val="24"/>
                <w:u w:val="single"/>
              </w:rPr>
              <w:t>RESERVES 2023/24</w:t>
            </w:r>
          </w:p>
          <w:p w14:paraId="26D8B5C7" w14:textId="782DDBD7" w:rsidR="002F5D0A" w:rsidRPr="00301D4F" w:rsidRDefault="002F5D0A" w:rsidP="007B3147">
            <w:pPr>
              <w:pStyle w:val="NormalWeb"/>
              <w:jc w:val="both"/>
              <w:rPr>
                <w:rFonts w:ascii="Arial" w:eastAsia="Times New Roman" w:hAnsi="Arial" w:cs="Arial"/>
                <w:highlight w:val="yellow"/>
              </w:rPr>
            </w:pPr>
          </w:p>
        </w:tc>
      </w:tr>
      <w:tr w:rsidR="002F5D0A" w:rsidRPr="00301D4F" w14:paraId="4ECFA78D" w14:textId="77777777" w:rsidTr="00BF65A0">
        <w:trPr>
          <w:gridAfter w:val="1"/>
          <w:wAfter w:w="249" w:type="dxa"/>
        </w:trPr>
        <w:tc>
          <w:tcPr>
            <w:tcW w:w="885" w:type="dxa"/>
            <w:gridSpan w:val="2"/>
          </w:tcPr>
          <w:p w14:paraId="55CADB14" w14:textId="219F0C5F" w:rsidR="002F5D0A" w:rsidRPr="00301D4F" w:rsidRDefault="002F5D0A" w:rsidP="00573DBD">
            <w:pPr>
              <w:rPr>
                <w:rFonts w:eastAsia="Times New Roman" w:cs="Arial"/>
                <w:sz w:val="24"/>
                <w:szCs w:val="24"/>
                <w:highlight w:val="yellow"/>
              </w:rPr>
            </w:pPr>
            <w:bookmarkStart w:id="3" w:name="_Hlk142918977"/>
            <w:r w:rsidRPr="000677F0">
              <w:rPr>
                <w:rFonts w:eastAsia="Times New Roman" w:cs="Arial"/>
                <w:bCs/>
                <w:sz w:val="24"/>
                <w:szCs w:val="24"/>
              </w:rPr>
              <w:t>10.1</w:t>
            </w:r>
          </w:p>
        </w:tc>
        <w:tc>
          <w:tcPr>
            <w:tcW w:w="8931" w:type="dxa"/>
          </w:tcPr>
          <w:p w14:paraId="6DAA54C0" w14:textId="77777777" w:rsidR="002F5D0A" w:rsidRPr="000677F0" w:rsidRDefault="002F5D0A" w:rsidP="00455E22">
            <w:pPr>
              <w:jc w:val="both"/>
              <w:rPr>
                <w:rFonts w:eastAsia="Times New Roman" w:cs="Arial"/>
                <w:sz w:val="24"/>
                <w:szCs w:val="24"/>
              </w:rPr>
            </w:pPr>
            <w:r w:rsidRPr="000677F0">
              <w:rPr>
                <w:rFonts w:eastAsia="Times New Roman" w:cs="Arial"/>
                <w:sz w:val="24"/>
                <w:szCs w:val="24"/>
              </w:rPr>
              <w:t xml:space="preserve">The Fire Authority maintains Reserves in order to assist it in managing its specific spending plans across the financial year (Earmarked Reserves), making provisions for the financial risks it faces (General Fund Reserves) and making investments (Capital Receipts Reserve).  </w:t>
            </w:r>
          </w:p>
          <w:p w14:paraId="624366E7" w14:textId="3A467CC5" w:rsidR="002F5D0A" w:rsidRPr="00301D4F" w:rsidRDefault="002F5D0A" w:rsidP="00573DBD">
            <w:pPr>
              <w:rPr>
                <w:rFonts w:eastAsia="Times New Roman" w:cs="Arial"/>
                <w:sz w:val="24"/>
                <w:szCs w:val="24"/>
                <w:highlight w:val="yellow"/>
              </w:rPr>
            </w:pPr>
          </w:p>
        </w:tc>
      </w:tr>
      <w:tr w:rsidR="002F5D0A" w:rsidRPr="00301D4F" w14:paraId="2711B3D7" w14:textId="77777777" w:rsidTr="00BF65A0">
        <w:trPr>
          <w:gridAfter w:val="1"/>
          <w:wAfter w:w="249" w:type="dxa"/>
        </w:trPr>
        <w:tc>
          <w:tcPr>
            <w:tcW w:w="885" w:type="dxa"/>
            <w:gridSpan w:val="2"/>
          </w:tcPr>
          <w:p w14:paraId="0F5B9AD3" w14:textId="339564CD" w:rsidR="002F5D0A" w:rsidRPr="000677F0" w:rsidRDefault="002F5D0A" w:rsidP="00573DBD">
            <w:pPr>
              <w:rPr>
                <w:rFonts w:eastAsia="Times New Roman" w:cs="Arial"/>
                <w:sz w:val="24"/>
                <w:szCs w:val="24"/>
              </w:rPr>
            </w:pPr>
            <w:r w:rsidRPr="000677F0">
              <w:rPr>
                <w:rFonts w:eastAsia="Times New Roman" w:cs="Arial"/>
                <w:bCs/>
                <w:sz w:val="24"/>
                <w:szCs w:val="24"/>
              </w:rPr>
              <w:t>10.2</w:t>
            </w:r>
          </w:p>
        </w:tc>
        <w:tc>
          <w:tcPr>
            <w:tcW w:w="8931" w:type="dxa"/>
          </w:tcPr>
          <w:p w14:paraId="0548E724" w14:textId="77777777" w:rsidR="002F5D0A" w:rsidRPr="000677F0" w:rsidRDefault="002F5D0A" w:rsidP="00455E22">
            <w:pPr>
              <w:jc w:val="both"/>
              <w:rPr>
                <w:rFonts w:eastAsia="Times New Roman" w:cs="Arial"/>
                <w:sz w:val="24"/>
                <w:szCs w:val="24"/>
              </w:rPr>
            </w:pPr>
            <w:r w:rsidRPr="000677F0">
              <w:rPr>
                <w:rFonts w:eastAsia="Times New Roman" w:cs="Arial"/>
                <w:sz w:val="24"/>
                <w:szCs w:val="24"/>
              </w:rPr>
              <w:t xml:space="preserve">The opening balance of reserves </w:t>
            </w:r>
            <w:proofErr w:type="gramStart"/>
            <w:r w:rsidRPr="000677F0">
              <w:rPr>
                <w:rFonts w:eastAsia="Times New Roman" w:cs="Arial"/>
                <w:sz w:val="24"/>
                <w:szCs w:val="24"/>
              </w:rPr>
              <w:t>at</w:t>
            </w:r>
            <w:proofErr w:type="gramEnd"/>
            <w:r w:rsidRPr="000677F0">
              <w:rPr>
                <w:rFonts w:eastAsia="Times New Roman" w:cs="Arial"/>
                <w:sz w:val="24"/>
                <w:szCs w:val="24"/>
              </w:rPr>
              <w:t xml:space="preserve"> 1 April 2023 is £14.460m.</w:t>
            </w:r>
          </w:p>
          <w:p w14:paraId="484F58E2" w14:textId="140C78F0" w:rsidR="002F5D0A" w:rsidRPr="000677F0" w:rsidRDefault="002F5D0A" w:rsidP="00573DBD">
            <w:pPr>
              <w:rPr>
                <w:rFonts w:eastAsia="Times New Roman" w:cs="Arial"/>
                <w:sz w:val="24"/>
                <w:szCs w:val="24"/>
              </w:rPr>
            </w:pPr>
          </w:p>
        </w:tc>
      </w:tr>
      <w:tr w:rsidR="002F5D0A" w:rsidRPr="00301D4F" w14:paraId="1866E35C" w14:textId="77777777" w:rsidTr="00BF65A0">
        <w:trPr>
          <w:gridAfter w:val="1"/>
          <w:wAfter w:w="249" w:type="dxa"/>
        </w:trPr>
        <w:tc>
          <w:tcPr>
            <w:tcW w:w="885" w:type="dxa"/>
            <w:gridSpan w:val="2"/>
          </w:tcPr>
          <w:p w14:paraId="537D9E1A" w14:textId="70D0FE7B" w:rsidR="002F5D0A" w:rsidRPr="00082DCD" w:rsidRDefault="002F5D0A" w:rsidP="00573DBD">
            <w:pPr>
              <w:rPr>
                <w:rFonts w:eastAsia="Times New Roman" w:cs="Arial"/>
                <w:sz w:val="24"/>
                <w:szCs w:val="24"/>
              </w:rPr>
            </w:pPr>
            <w:r w:rsidRPr="00082DCD">
              <w:rPr>
                <w:rFonts w:eastAsia="Times New Roman" w:cs="Arial"/>
                <w:bCs/>
                <w:sz w:val="24"/>
                <w:szCs w:val="24"/>
              </w:rPr>
              <w:t>10.3</w:t>
            </w:r>
          </w:p>
        </w:tc>
        <w:tc>
          <w:tcPr>
            <w:tcW w:w="8931" w:type="dxa"/>
          </w:tcPr>
          <w:p w14:paraId="1CBFAD65" w14:textId="11C23C94" w:rsidR="002F5D0A" w:rsidRPr="00082DCD" w:rsidRDefault="002F5D0A" w:rsidP="00455E22">
            <w:pPr>
              <w:jc w:val="both"/>
              <w:rPr>
                <w:rFonts w:eastAsia="Times New Roman" w:cs="Arial"/>
                <w:sz w:val="24"/>
                <w:szCs w:val="24"/>
              </w:rPr>
            </w:pPr>
            <w:r w:rsidRPr="00082DCD">
              <w:rPr>
                <w:rFonts w:eastAsia="Times New Roman" w:cs="Arial"/>
                <w:sz w:val="24"/>
                <w:szCs w:val="24"/>
              </w:rPr>
              <w:t>The forecast net drawdown from reserves totals £</w:t>
            </w:r>
            <w:r w:rsidR="00C2343F" w:rsidRPr="00082DCD">
              <w:rPr>
                <w:rFonts w:eastAsia="Times New Roman" w:cs="Arial"/>
                <w:sz w:val="24"/>
                <w:szCs w:val="24"/>
              </w:rPr>
              <w:t>5</w:t>
            </w:r>
            <w:r w:rsidRPr="00082DCD">
              <w:rPr>
                <w:rFonts w:eastAsia="Times New Roman" w:cs="Arial"/>
                <w:sz w:val="24"/>
                <w:szCs w:val="24"/>
              </w:rPr>
              <w:t>,</w:t>
            </w:r>
            <w:r w:rsidR="00620DB1">
              <w:rPr>
                <w:rFonts w:eastAsia="Times New Roman" w:cs="Arial"/>
                <w:sz w:val="24"/>
                <w:szCs w:val="24"/>
              </w:rPr>
              <w:t>724</w:t>
            </w:r>
            <w:r w:rsidRPr="00082DCD">
              <w:rPr>
                <w:rFonts w:eastAsia="Times New Roman" w:cs="Arial"/>
                <w:sz w:val="24"/>
                <w:szCs w:val="24"/>
              </w:rPr>
              <w:t>,000 compared to the original planned net drawdown of £7,293,000. This is a net reduction in drawdown of £1,</w:t>
            </w:r>
            <w:r w:rsidR="00620DB1">
              <w:rPr>
                <w:rFonts w:eastAsia="Times New Roman" w:cs="Arial"/>
                <w:sz w:val="24"/>
                <w:szCs w:val="24"/>
              </w:rPr>
              <w:t>569</w:t>
            </w:r>
            <w:r w:rsidRPr="00082DCD">
              <w:rPr>
                <w:rFonts w:eastAsia="Times New Roman" w:cs="Arial"/>
                <w:sz w:val="24"/>
                <w:szCs w:val="24"/>
              </w:rPr>
              <w:t xml:space="preserve">,000 resulting in an estimated balance </w:t>
            </w:r>
            <w:proofErr w:type="gramStart"/>
            <w:r w:rsidRPr="00082DCD">
              <w:rPr>
                <w:rFonts w:eastAsia="Times New Roman" w:cs="Arial"/>
                <w:sz w:val="24"/>
                <w:szCs w:val="24"/>
              </w:rPr>
              <w:t>at</w:t>
            </w:r>
            <w:proofErr w:type="gramEnd"/>
            <w:r w:rsidRPr="00082DCD">
              <w:rPr>
                <w:rFonts w:eastAsia="Times New Roman" w:cs="Arial"/>
                <w:sz w:val="24"/>
                <w:szCs w:val="24"/>
              </w:rPr>
              <w:t xml:space="preserve"> 31 March 2024 of £8,</w:t>
            </w:r>
            <w:r w:rsidR="00C2343F" w:rsidRPr="00082DCD">
              <w:rPr>
                <w:rFonts w:eastAsia="Times New Roman" w:cs="Arial"/>
                <w:sz w:val="24"/>
                <w:szCs w:val="24"/>
              </w:rPr>
              <w:t>7</w:t>
            </w:r>
            <w:r w:rsidR="00620DB1">
              <w:rPr>
                <w:rFonts w:eastAsia="Times New Roman" w:cs="Arial"/>
                <w:sz w:val="24"/>
                <w:szCs w:val="24"/>
              </w:rPr>
              <w:t>36</w:t>
            </w:r>
            <w:r w:rsidRPr="00082DCD">
              <w:rPr>
                <w:rFonts w:eastAsia="Times New Roman" w:cs="Arial"/>
                <w:sz w:val="24"/>
                <w:szCs w:val="24"/>
              </w:rPr>
              <w:t xml:space="preserve">,000 as summarised in the table below and detailed over individual reserves in Appendix </w:t>
            </w:r>
            <w:r w:rsidR="00C2343F" w:rsidRPr="00082DCD">
              <w:rPr>
                <w:rFonts w:eastAsia="Times New Roman" w:cs="Arial"/>
                <w:sz w:val="24"/>
                <w:szCs w:val="24"/>
              </w:rPr>
              <w:t>6</w:t>
            </w:r>
            <w:r w:rsidRPr="00082DCD">
              <w:rPr>
                <w:rFonts w:eastAsia="Times New Roman" w:cs="Arial"/>
                <w:sz w:val="24"/>
                <w:szCs w:val="24"/>
              </w:rPr>
              <w:t xml:space="preserve">. </w:t>
            </w:r>
          </w:p>
          <w:p w14:paraId="006BC726" w14:textId="77777777" w:rsidR="002F5D0A" w:rsidRPr="00082DCD" w:rsidRDefault="002F5D0A" w:rsidP="00455E22">
            <w:pPr>
              <w:jc w:val="both"/>
              <w:rPr>
                <w:rFonts w:eastAsia="Times New Roman" w:cs="Arial"/>
                <w:sz w:val="24"/>
                <w:szCs w:val="24"/>
              </w:rPr>
            </w:pPr>
          </w:p>
          <w:p w14:paraId="41C3ACE9" w14:textId="017EE9FC" w:rsidR="002F5D0A" w:rsidRPr="00082DCD" w:rsidRDefault="002F5D0A" w:rsidP="0098403F">
            <w:pPr>
              <w:jc w:val="center"/>
              <w:rPr>
                <w:rFonts w:eastAsia="Times New Roman" w:cs="Arial"/>
                <w:sz w:val="24"/>
                <w:szCs w:val="24"/>
              </w:rPr>
            </w:pPr>
          </w:p>
          <w:p w14:paraId="405D8C7E" w14:textId="7399060C" w:rsidR="002F5D0A" w:rsidRPr="00082DCD" w:rsidRDefault="00CA71A6" w:rsidP="00C2343F">
            <w:pPr>
              <w:jc w:val="center"/>
              <w:rPr>
                <w:bCs/>
                <w:sz w:val="24"/>
                <w:szCs w:val="24"/>
              </w:rPr>
            </w:pPr>
            <w:r>
              <w:rPr>
                <w:bCs/>
                <w:noProof/>
                <w:sz w:val="24"/>
                <w:szCs w:val="24"/>
              </w:rPr>
              <w:drawing>
                <wp:inline distT="0" distB="0" distL="0" distR="0" wp14:anchorId="63A49833" wp14:editId="672C8852">
                  <wp:extent cx="5210175" cy="154659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7265" cy="1548704"/>
                          </a:xfrm>
                          <a:prstGeom prst="rect">
                            <a:avLst/>
                          </a:prstGeom>
                          <a:noFill/>
                        </pic:spPr>
                      </pic:pic>
                    </a:graphicData>
                  </a:graphic>
                </wp:inline>
              </w:drawing>
            </w:r>
          </w:p>
          <w:p w14:paraId="15271BEC" w14:textId="295516EF" w:rsidR="00082DCD" w:rsidRPr="00082DCD" w:rsidRDefault="00082DCD" w:rsidP="00C2343F">
            <w:pPr>
              <w:jc w:val="center"/>
              <w:rPr>
                <w:bCs/>
                <w:sz w:val="24"/>
                <w:szCs w:val="24"/>
              </w:rPr>
            </w:pPr>
          </w:p>
        </w:tc>
      </w:tr>
      <w:bookmarkEnd w:id="3"/>
      <w:tr w:rsidR="002F5D0A" w:rsidRPr="00301D4F" w14:paraId="1BE3DC26" w14:textId="77777777" w:rsidTr="00BF65A0">
        <w:trPr>
          <w:gridAfter w:val="1"/>
          <w:wAfter w:w="249" w:type="dxa"/>
        </w:trPr>
        <w:tc>
          <w:tcPr>
            <w:tcW w:w="885" w:type="dxa"/>
            <w:gridSpan w:val="2"/>
          </w:tcPr>
          <w:p w14:paraId="4DDF89D9" w14:textId="37D39F26" w:rsidR="002F5D0A" w:rsidRPr="000677F0" w:rsidRDefault="002F5D0A" w:rsidP="00573DBD">
            <w:pPr>
              <w:rPr>
                <w:rFonts w:eastAsia="Times New Roman" w:cs="Arial"/>
                <w:sz w:val="24"/>
                <w:szCs w:val="24"/>
              </w:rPr>
            </w:pPr>
            <w:r w:rsidRPr="000677F0">
              <w:rPr>
                <w:rFonts w:eastAsia="Times New Roman" w:cs="Arial"/>
                <w:bCs/>
                <w:sz w:val="24"/>
                <w:szCs w:val="24"/>
              </w:rPr>
              <w:t>10.4</w:t>
            </w:r>
          </w:p>
        </w:tc>
        <w:tc>
          <w:tcPr>
            <w:tcW w:w="8931" w:type="dxa"/>
          </w:tcPr>
          <w:p w14:paraId="4C8D33E5" w14:textId="77777777" w:rsidR="002F5D0A" w:rsidRPr="000677F0" w:rsidRDefault="002F5D0A" w:rsidP="00455E22">
            <w:pPr>
              <w:jc w:val="both"/>
              <w:rPr>
                <w:rFonts w:eastAsia="Times New Roman" w:cs="Arial"/>
                <w:sz w:val="24"/>
                <w:szCs w:val="24"/>
              </w:rPr>
            </w:pPr>
            <w:r w:rsidRPr="000677F0">
              <w:rPr>
                <w:sz w:val="24"/>
                <w:szCs w:val="24"/>
              </w:rPr>
              <w:t xml:space="preserve">Work continues with budget managers to confirm the planned use of revenue and capital reserves in 2023/24.  </w:t>
            </w:r>
            <w:r w:rsidRPr="000677F0">
              <w:rPr>
                <w:rFonts w:eastAsia="Times New Roman" w:cs="Arial"/>
                <w:sz w:val="24"/>
                <w:szCs w:val="24"/>
              </w:rPr>
              <w:t xml:space="preserve">  </w:t>
            </w:r>
          </w:p>
          <w:p w14:paraId="13B82EB0" w14:textId="3BE1E3E5" w:rsidR="002F5D0A" w:rsidRPr="000677F0" w:rsidRDefault="002F5D0A" w:rsidP="001E1CF6">
            <w:pPr>
              <w:jc w:val="both"/>
              <w:rPr>
                <w:bCs/>
              </w:rPr>
            </w:pPr>
          </w:p>
        </w:tc>
      </w:tr>
      <w:tr w:rsidR="002F5D0A" w:rsidRPr="00301D4F" w14:paraId="46478DDE" w14:textId="77777777" w:rsidTr="00BF65A0">
        <w:trPr>
          <w:gridAfter w:val="1"/>
          <w:wAfter w:w="249" w:type="dxa"/>
        </w:trPr>
        <w:tc>
          <w:tcPr>
            <w:tcW w:w="885" w:type="dxa"/>
            <w:gridSpan w:val="2"/>
          </w:tcPr>
          <w:p w14:paraId="57580FE5" w14:textId="61C07275" w:rsidR="002F5D0A" w:rsidRPr="001563BC" w:rsidRDefault="002F5D0A" w:rsidP="00573DBD">
            <w:pPr>
              <w:rPr>
                <w:rFonts w:eastAsia="Times New Roman" w:cs="Arial"/>
                <w:sz w:val="24"/>
                <w:szCs w:val="24"/>
              </w:rPr>
            </w:pPr>
            <w:r w:rsidRPr="001563BC">
              <w:rPr>
                <w:rFonts w:eastAsia="Times New Roman" w:cs="Arial"/>
                <w:sz w:val="24"/>
                <w:szCs w:val="24"/>
              </w:rPr>
              <w:t>10.5</w:t>
            </w:r>
          </w:p>
        </w:tc>
        <w:tc>
          <w:tcPr>
            <w:tcW w:w="8931" w:type="dxa"/>
          </w:tcPr>
          <w:p w14:paraId="2EF3D470" w14:textId="729DED71" w:rsidR="002F5D0A" w:rsidRPr="001563BC" w:rsidRDefault="002F5D0A" w:rsidP="00455E22">
            <w:pPr>
              <w:jc w:val="both"/>
              <w:rPr>
                <w:sz w:val="24"/>
                <w:szCs w:val="24"/>
              </w:rPr>
            </w:pPr>
            <w:r w:rsidRPr="001563BC">
              <w:rPr>
                <w:sz w:val="24"/>
                <w:szCs w:val="24"/>
              </w:rPr>
              <w:t>The main reasons for the overall net reduction in forecast drawdown of £1,</w:t>
            </w:r>
            <w:r w:rsidR="00C2343F" w:rsidRPr="001563BC">
              <w:rPr>
                <w:sz w:val="24"/>
                <w:szCs w:val="24"/>
              </w:rPr>
              <w:t>542</w:t>
            </w:r>
            <w:r w:rsidRPr="001563BC">
              <w:rPr>
                <w:sz w:val="24"/>
                <w:szCs w:val="24"/>
              </w:rPr>
              <w:t>,000 are as follows:</w:t>
            </w:r>
          </w:p>
          <w:p w14:paraId="5B298FAC" w14:textId="77777777" w:rsidR="002F5D0A" w:rsidRPr="001563BC" w:rsidRDefault="002F5D0A" w:rsidP="00455E22">
            <w:pPr>
              <w:jc w:val="both"/>
              <w:rPr>
                <w:sz w:val="24"/>
                <w:szCs w:val="24"/>
              </w:rPr>
            </w:pPr>
          </w:p>
          <w:p w14:paraId="6479A228" w14:textId="6562C14A" w:rsidR="002F5D0A" w:rsidRPr="001563BC" w:rsidRDefault="002F5D0A" w:rsidP="00455E22">
            <w:pPr>
              <w:jc w:val="both"/>
              <w:rPr>
                <w:b/>
                <w:bCs/>
                <w:sz w:val="24"/>
                <w:szCs w:val="24"/>
              </w:rPr>
            </w:pPr>
            <w:r w:rsidRPr="001563BC">
              <w:rPr>
                <w:b/>
                <w:bCs/>
                <w:sz w:val="24"/>
                <w:szCs w:val="24"/>
              </w:rPr>
              <w:t>Earmarked Reserves – Decrease of £1,</w:t>
            </w:r>
            <w:r w:rsidR="00082DCD">
              <w:rPr>
                <w:b/>
                <w:bCs/>
                <w:sz w:val="24"/>
                <w:szCs w:val="24"/>
              </w:rPr>
              <w:t>473</w:t>
            </w:r>
            <w:r w:rsidRPr="001563BC">
              <w:rPr>
                <w:b/>
                <w:bCs/>
                <w:sz w:val="24"/>
                <w:szCs w:val="24"/>
              </w:rPr>
              <w:t>,000</w:t>
            </w:r>
          </w:p>
          <w:p w14:paraId="294ECF38" w14:textId="77777777" w:rsidR="002F5D0A" w:rsidRPr="001563BC" w:rsidRDefault="002F5D0A" w:rsidP="00455E22">
            <w:pPr>
              <w:jc w:val="both"/>
              <w:rPr>
                <w:b/>
                <w:bCs/>
                <w:sz w:val="24"/>
                <w:szCs w:val="24"/>
              </w:rPr>
            </w:pPr>
          </w:p>
          <w:p w14:paraId="4F706664" w14:textId="18ACD9DD" w:rsidR="002F5D0A" w:rsidRPr="001563BC" w:rsidRDefault="002F5D0A" w:rsidP="002C0FBF">
            <w:pPr>
              <w:pStyle w:val="ListParagraph"/>
              <w:numPr>
                <w:ilvl w:val="0"/>
                <w:numId w:val="10"/>
              </w:numPr>
              <w:jc w:val="both"/>
              <w:rPr>
                <w:sz w:val="24"/>
                <w:szCs w:val="24"/>
              </w:rPr>
            </w:pPr>
            <w:r w:rsidRPr="001563BC">
              <w:rPr>
                <w:sz w:val="24"/>
                <w:szCs w:val="24"/>
              </w:rPr>
              <w:t>£</w:t>
            </w:r>
            <w:r w:rsidR="00E7700C" w:rsidRPr="001563BC">
              <w:rPr>
                <w:sz w:val="24"/>
                <w:szCs w:val="24"/>
              </w:rPr>
              <w:t>627</w:t>
            </w:r>
            <w:r w:rsidRPr="001563BC">
              <w:rPr>
                <w:sz w:val="24"/>
                <w:szCs w:val="24"/>
              </w:rPr>
              <w:t>,000 – changes to drawdown from Business Rates Pool Reserve based on P</w:t>
            </w:r>
            <w:r w:rsidR="00E7700C" w:rsidRPr="001563BC">
              <w:rPr>
                <w:sz w:val="24"/>
                <w:szCs w:val="24"/>
              </w:rPr>
              <w:t>8</w:t>
            </w:r>
            <w:r w:rsidRPr="001563BC">
              <w:rPr>
                <w:sz w:val="24"/>
                <w:szCs w:val="24"/>
              </w:rPr>
              <w:t xml:space="preserve"> budget monitoring forecast for Protection spend</w:t>
            </w:r>
            <w:r w:rsidR="00E7700C" w:rsidRPr="001563BC">
              <w:rPr>
                <w:sz w:val="24"/>
                <w:szCs w:val="24"/>
              </w:rPr>
              <w:t>,</w:t>
            </w:r>
            <w:r w:rsidRPr="001563BC">
              <w:rPr>
                <w:sz w:val="24"/>
                <w:szCs w:val="24"/>
              </w:rPr>
              <w:t xml:space="preserve"> changes to contribution </w:t>
            </w:r>
            <w:r w:rsidR="00E7700C" w:rsidRPr="001563BC">
              <w:rPr>
                <w:sz w:val="24"/>
                <w:szCs w:val="24"/>
              </w:rPr>
              <w:t xml:space="preserve">into the pool </w:t>
            </w:r>
            <w:r w:rsidRPr="001563BC">
              <w:rPr>
                <w:sz w:val="24"/>
                <w:szCs w:val="24"/>
              </w:rPr>
              <w:t>for 2022/23</w:t>
            </w:r>
            <w:r w:rsidR="00E7700C" w:rsidRPr="001563BC">
              <w:rPr>
                <w:sz w:val="24"/>
                <w:szCs w:val="24"/>
              </w:rPr>
              <w:t xml:space="preserve"> and forecast of contribution into the pool for 2023/24</w:t>
            </w:r>
          </w:p>
          <w:p w14:paraId="2614FC5F" w14:textId="77777777" w:rsidR="002F5D0A" w:rsidRPr="001563BC" w:rsidRDefault="002F5D0A" w:rsidP="005A4024">
            <w:pPr>
              <w:pStyle w:val="ListParagraph"/>
              <w:jc w:val="both"/>
              <w:rPr>
                <w:sz w:val="24"/>
                <w:szCs w:val="24"/>
              </w:rPr>
            </w:pPr>
          </w:p>
          <w:p w14:paraId="0E228D86" w14:textId="34173505" w:rsidR="002F5D0A" w:rsidRPr="001563BC" w:rsidRDefault="002F5D0A" w:rsidP="002C0FBF">
            <w:pPr>
              <w:pStyle w:val="ListParagraph"/>
              <w:numPr>
                <w:ilvl w:val="0"/>
                <w:numId w:val="10"/>
              </w:numPr>
              <w:jc w:val="both"/>
              <w:rPr>
                <w:sz w:val="24"/>
                <w:szCs w:val="24"/>
              </w:rPr>
            </w:pPr>
            <w:r w:rsidRPr="001563BC">
              <w:rPr>
                <w:color w:val="FF0000"/>
                <w:sz w:val="24"/>
                <w:szCs w:val="24"/>
              </w:rPr>
              <w:t>(£</w:t>
            </w:r>
            <w:r w:rsidR="00082DCD">
              <w:rPr>
                <w:color w:val="FF0000"/>
                <w:sz w:val="24"/>
                <w:szCs w:val="24"/>
              </w:rPr>
              <w:t>25</w:t>
            </w:r>
            <w:r w:rsidRPr="001563BC">
              <w:rPr>
                <w:color w:val="FF0000"/>
                <w:sz w:val="24"/>
                <w:szCs w:val="24"/>
              </w:rPr>
              <w:t xml:space="preserve">,000) </w:t>
            </w:r>
            <w:r w:rsidRPr="001563BC">
              <w:rPr>
                <w:sz w:val="24"/>
                <w:szCs w:val="24"/>
              </w:rPr>
              <w:t>– increased drawdown from Mobilising reserve</w:t>
            </w:r>
          </w:p>
          <w:p w14:paraId="5E9C0C51" w14:textId="77777777" w:rsidR="002F5D0A" w:rsidRPr="001563BC" w:rsidRDefault="002F5D0A" w:rsidP="00F232DF">
            <w:pPr>
              <w:pStyle w:val="ListParagraph"/>
              <w:rPr>
                <w:sz w:val="24"/>
                <w:szCs w:val="24"/>
              </w:rPr>
            </w:pPr>
          </w:p>
          <w:p w14:paraId="239179F0" w14:textId="5F587752" w:rsidR="002F5D0A" w:rsidRPr="001563BC" w:rsidRDefault="002F5D0A" w:rsidP="002C0FBF">
            <w:pPr>
              <w:pStyle w:val="ListParagraph"/>
              <w:numPr>
                <w:ilvl w:val="0"/>
                <w:numId w:val="10"/>
              </w:numPr>
              <w:jc w:val="both"/>
              <w:rPr>
                <w:sz w:val="24"/>
                <w:szCs w:val="24"/>
              </w:rPr>
            </w:pPr>
            <w:r w:rsidRPr="001563BC">
              <w:rPr>
                <w:color w:val="FF0000"/>
                <w:sz w:val="24"/>
                <w:szCs w:val="24"/>
              </w:rPr>
              <w:t>(£</w:t>
            </w:r>
            <w:r w:rsidR="00CA71A6">
              <w:rPr>
                <w:color w:val="FF0000"/>
                <w:sz w:val="24"/>
                <w:szCs w:val="24"/>
              </w:rPr>
              <w:t>73</w:t>
            </w:r>
            <w:r w:rsidRPr="001563BC">
              <w:rPr>
                <w:color w:val="FF0000"/>
                <w:sz w:val="24"/>
                <w:szCs w:val="24"/>
              </w:rPr>
              <w:t>,000)</w:t>
            </w:r>
            <w:r w:rsidRPr="001563BC">
              <w:rPr>
                <w:sz w:val="24"/>
                <w:szCs w:val="24"/>
              </w:rPr>
              <w:t xml:space="preserve"> – increased drawdown from the Improvement &amp; Efficiency reserve</w:t>
            </w:r>
          </w:p>
          <w:p w14:paraId="1EFF9EFE" w14:textId="77777777" w:rsidR="002F5D0A" w:rsidRPr="001563BC" w:rsidRDefault="002F5D0A" w:rsidP="00E96CAF">
            <w:pPr>
              <w:pStyle w:val="ListParagraph"/>
              <w:jc w:val="both"/>
              <w:rPr>
                <w:sz w:val="24"/>
                <w:szCs w:val="24"/>
              </w:rPr>
            </w:pPr>
          </w:p>
          <w:p w14:paraId="4F832F98" w14:textId="011FFBD6" w:rsidR="002F5D0A" w:rsidRPr="001563BC" w:rsidRDefault="002F5D0A" w:rsidP="00A25CD0">
            <w:pPr>
              <w:pStyle w:val="ListParagraph"/>
              <w:numPr>
                <w:ilvl w:val="0"/>
                <w:numId w:val="10"/>
              </w:numPr>
              <w:jc w:val="both"/>
              <w:rPr>
                <w:sz w:val="24"/>
                <w:szCs w:val="24"/>
              </w:rPr>
            </w:pPr>
            <w:r w:rsidRPr="001563BC">
              <w:rPr>
                <w:sz w:val="24"/>
                <w:szCs w:val="24"/>
              </w:rPr>
              <w:lastRenderedPageBreak/>
              <w:t>£</w:t>
            </w:r>
            <w:r w:rsidR="00C2343F" w:rsidRPr="001563BC">
              <w:rPr>
                <w:sz w:val="24"/>
                <w:szCs w:val="24"/>
              </w:rPr>
              <w:t>7</w:t>
            </w:r>
            <w:r w:rsidR="00082DCD">
              <w:rPr>
                <w:sz w:val="24"/>
                <w:szCs w:val="24"/>
              </w:rPr>
              <w:t>76</w:t>
            </w:r>
            <w:r w:rsidRPr="001563BC">
              <w:rPr>
                <w:sz w:val="24"/>
                <w:szCs w:val="24"/>
              </w:rPr>
              <w:t>,000 – reduced drawdown from the Capital Programme Reserve</w:t>
            </w:r>
          </w:p>
          <w:p w14:paraId="76C5B255" w14:textId="77777777" w:rsidR="002F5D0A" w:rsidRPr="001563BC" w:rsidRDefault="002F5D0A" w:rsidP="00A576ED">
            <w:pPr>
              <w:pStyle w:val="ListParagraph"/>
              <w:rPr>
                <w:sz w:val="24"/>
                <w:szCs w:val="24"/>
              </w:rPr>
            </w:pPr>
          </w:p>
          <w:p w14:paraId="19575819" w14:textId="50350799" w:rsidR="002F5D0A" w:rsidRPr="001563BC" w:rsidRDefault="00C2343F" w:rsidP="00A25CD0">
            <w:pPr>
              <w:pStyle w:val="ListParagraph"/>
              <w:numPr>
                <w:ilvl w:val="0"/>
                <w:numId w:val="10"/>
              </w:numPr>
              <w:jc w:val="both"/>
              <w:rPr>
                <w:sz w:val="24"/>
                <w:szCs w:val="24"/>
              </w:rPr>
            </w:pPr>
            <w:r w:rsidRPr="001563BC">
              <w:rPr>
                <w:color w:val="FF0000"/>
                <w:sz w:val="24"/>
                <w:szCs w:val="24"/>
              </w:rPr>
              <w:t>(£71,00</w:t>
            </w:r>
            <w:r w:rsidR="002F5D0A" w:rsidRPr="001563BC">
              <w:rPr>
                <w:color w:val="FF0000"/>
                <w:sz w:val="24"/>
                <w:szCs w:val="24"/>
              </w:rPr>
              <w:t xml:space="preserve">0) </w:t>
            </w:r>
            <w:r w:rsidR="002F5D0A" w:rsidRPr="001563BC">
              <w:rPr>
                <w:sz w:val="24"/>
                <w:szCs w:val="24"/>
              </w:rPr>
              <w:t>– increased drawdown from the Covid reserve</w:t>
            </w:r>
          </w:p>
          <w:p w14:paraId="46DB7C3E" w14:textId="77777777" w:rsidR="002F5D0A" w:rsidRPr="001563BC" w:rsidRDefault="002F5D0A" w:rsidP="00B30AF0">
            <w:pPr>
              <w:pStyle w:val="ListParagraph"/>
              <w:rPr>
                <w:sz w:val="24"/>
                <w:szCs w:val="24"/>
              </w:rPr>
            </w:pPr>
          </w:p>
          <w:p w14:paraId="6D3A2319" w14:textId="77777777" w:rsidR="002F5D0A" w:rsidRPr="001563BC" w:rsidRDefault="002F5D0A" w:rsidP="00A25CD0">
            <w:pPr>
              <w:pStyle w:val="ListParagraph"/>
              <w:numPr>
                <w:ilvl w:val="0"/>
                <w:numId w:val="10"/>
              </w:numPr>
              <w:jc w:val="both"/>
              <w:rPr>
                <w:sz w:val="24"/>
                <w:szCs w:val="24"/>
              </w:rPr>
            </w:pPr>
            <w:r w:rsidRPr="001563BC">
              <w:rPr>
                <w:sz w:val="24"/>
                <w:szCs w:val="24"/>
              </w:rPr>
              <w:t>£44,000 – reduced drawdown from the Carry Forward Reserve</w:t>
            </w:r>
          </w:p>
          <w:p w14:paraId="6A616858" w14:textId="77777777" w:rsidR="002F5D0A" w:rsidRPr="001563BC" w:rsidRDefault="002F5D0A" w:rsidP="008A5B79">
            <w:pPr>
              <w:pStyle w:val="ListParagraph"/>
              <w:rPr>
                <w:sz w:val="24"/>
                <w:szCs w:val="24"/>
              </w:rPr>
            </w:pPr>
          </w:p>
          <w:p w14:paraId="35ECF852" w14:textId="77777777" w:rsidR="002F5D0A" w:rsidRPr="001563BC" w:rsidRDefault="002F5D0A" w:rsidP="008A5B79">
            <w:pPr>
              <w:pStyle w:val="ListParagraph"/>
              <w:numPr>
                <w:ilvl w:val="0"/>
                <w:numId w:val="10"/>
              </w:numPr>
              <w:jc w:val="both"/>
              <w:rPr>
                <w:sz w:val="24"/>
                <w:szCs w:val="24"/>
              </w:rPr>
            </w:pPr>
            <w:r w:rsidRPr="001563BC">
              <w:rPr>
                <w:color w:val="FF0000"/>
                <w:sz w:val="24"/>
                <w:szCs w:val="24"/>
              </w:rPr>
              <w:t xml:space="preserve">(£1,000) </w:t>
            </w:r>
            <w:r w:rsidRPr="001563BC">
              <w:rPr>
                <w:sz w:val="24"/>
                <w:szCs w:val="24"/>
              </w:rPr>
              <w:t xml:space="preserve">– increased drawdown from </w:t>
            </w:r>
            <w:proofErr w:type="gramStart"/>
            <w:r w:rsidRPr="001563BC">
              <w:rPr>
                <w:sz w:val="24"/>
                <w:szCs w:val="24"/>
              </w:rPr>
              <w:t>cadets</w:t>
            </w:r>
            <w:proofErr w:type="gramEnd"/>
            <w:r w:rsidRPr="001563BC">
              <w:rPr>
                <w:sz w:val="24"/>
                <w:szCs w:val="24"/>
              </w:rPr>
              <w:t xml:space="preserve"> reserve</w:t>
            </w:r>
          </w:p>
          <w:p w14:paraId="5EFF4165" w14:textId="77777777" w:rsidR="002F5D0A" w:rsidRPr="001563BC" w:rsidRDefault="002F5D0A" w:rsidP="00832E95">
            <w:pPr>
              <w:pStyle w:val="ListParagraph"/>
              <w:rPr>
                <w:sz w:val="24"/>
                <w:szCs w:val="24"/>
              </w:rPr>
            </w:pPr>
          </w:p>
          <w:p w14:paraId="017CB735" w14:textId="119EBD31" w:rsidR="002F5D0A" w:rsidRPr="001563BC" w:rsidRDefault="002F5D0A" w:rsidP="008A5B79">
            <w:pPr>
              <w:pStyle w:val="ListParagraph"/>
              <w:numPr>
                <w:ilvl w:val="0"/>
                <w:numId w:val="10"/>
              </w:numPr>
              <w:jc w:val="both"/>
              <w:rPr>
                <w:sz w:val="24"/>
                <w:szCs w:val="24"/>
              </w:rPr>
            </w:pPr>
            <w:r w:rsidRPr="001563BC">
              <w:rPr>
                <w:color w:val="FF0000"/>
                <w:sz w:val="24"/>
                <w:szCs w:val="24"/>
              </w:rPr>
              <w:t>(£</w:t>
            </w:r>
            <w:r w:rsidR="00E7700C" w:rsidRPr="001563BC">
              <w:rPr>
                <w:color w:val="FF0000"/>
                <w:sz w:val="24"/>
                <w:szCs w:val="24"/>
              </w:rPr>
              <w:t>147</w:t>
            </w:r>
            <w:r w:rsidRPr="001563BC">
              <w:rPr>
                <w:color w:val="FF0000"/>
                <w:sz w:val="24"/>
                <w:szCs w:val="24"/>
              </w:rPr>
              <w:t xml:space="preserve">,000) </w:t>
            </w:r>
            <w:r w:rsidRPr="001563BC">
              <w:rPr>
                <w:sz w:val="24"/>
                <w:szCs w:val="24"/>
              </w:rPr>
              <w:t>– increased drawdown from People Strategy reserve</w:t>
            </w:r>
          </w:p>
          <w:p w14:paraId="288D14DE" w14:textId="77777777" w:rsidR="002F5D0A" w:rsidRPr="001563BC" w:rsidRDefault="002F5D0A" w:rsidP="00B30AF0">
            <w:pPr>
              <w:pStyle w:val="ListParagraph"/>
              <w:rPr>
                <w:sz w:val="24"/>
                <w:szCs w:val="24"/>
              </w:rPr>
            </w:pPr>
          </w:p>
          <w:p w14:paraId="47664D5C" w14:textId="1698B189" w:rsidR="002F5D0A" w:rsidRPr="00082DCD" w:rsidRDefault="002F5D0A" w:rsidP="00A25CD0">
            <w:pPr>
              <w:pStyle w:val="ListParagraph"/>
              <w:numPr>
                <w:ilvl w:val="0"/>
                <w:numId w:val="10"/>
              </w:numPr>
              <w:jc w:val="both"/>
              <w:rPr>
                <w:sz w:val="24"/>
                <w:szCs w:val="24"/>
              </w:rPr>
            </w:pPr>
            <w:r w:rsidRPr="001563BC">
              <w:rPr>
                <w:sz w:val="24"/>
                <w:szCs w:val="24"/>
              </w:rPr>
              <w:t>£</w:t>
            </w:r>
            <w:r w:rsidR="00082DCD">
              <w:rPr>
                <w:sz w:val="24"/>
                <w:szCs w:val="24"/>
              </w:rPr>
              <w:t>6</w:t>
            </w:r>
            <w:r w:rsidRPr="001563BC">
              <w:rPr>
                <w:sz w:val="24"/>
                <w:szCs w:val="24"/>
              </w:rPr>
              <w:t xml:space="preserve">,000 </w:t>
            </w:r>
            <w:r w:rsidRPr="00082DCD">
              <w:rPr>
                <w:sz w:val="24"/>
                <w:szCs w:val="24"/>
              </w:rPr>
              <w:t>– reduced drawdown in respect of grant balances carried forward</w:t>
            </w:r>
          </w:p>
          <w:p w14:paraId="3AB2970E" w14:textId="77777777" w:rsidR="002F5D0A" w:rsidRPr="00082DCD" w:rsidRDefault="002F5D0A" w:rsidP="00BB46B5">
            <w:pPr>
              <w:pStyle w:val="ListParagraph"/>
              <w:rPr>
                <w:sz w:val="24"/>
                <w:szCs w:val="24"/>
              </w:rPr>
            </w:pPr>
          </w:p>
          <w:p w14:paraId="7059C0F6" w14:textId="186C2AC9" w:rsidR="002F5D0A" w:rsidRPr="00082DCD" w:rsidRDefault="00E7700C" w:rsidP="00A25CD0">
            <w:pPr>
              <w:pStyle w:val="ListParagraph"/>
              <w:numPr>
                <w:ilvl w:val="0"/>
                <w:numId w:val="10"/>
              </w:numPr>
              <w:jc w:val="both"/>
              <w:rPr>
                <w:sz w:val="24"/>
                <w:szCs w:val="24"/>
              </w:rPr>
            </w:pPr>
            <w:r w:rsidRPr="00082DCD">
              <w:rPr>
                <w:sz w:val="24"/>
                <w:szCs w:val="24"/>
              </w:rPr>
              <w:t>£169,000</w:t>
            </w:r>
            <w:r w:rsidR="002F5D0A" w:rsidRPr="00082DCD">
              <w:rPr>
                <w:sz w:val="24"/>
                <w:szCs w:val="24"/>
              </w:rPr>
              <w:t xml:space="preserve"> – </w:t>
            </w:r>
            <w:r w:rsidRPr="00082DCD">
              <w:rPr>
                <w:sz w:val="24"/>
                <w:szCs w:val="24"/>
              </w:rPr>
              <w:t>reduced</w:t>
            </w:r>
            <w:r w:rsidR="002F5D0A" w:rsidRPr="00082DCD">
              <w:rPr>
                <w:sz w:val="24"/>
                <w:szCs w:val="24"/>
              </w:rPr>
              <w:t xml:space="preserve"> drawdown from the ITG strategy reserve</w:t>
            </w:r>
          </w:p>
          <w:p w14:paraId="3E4C8525" w14:textId="77777777" w:rsidR="002F5D0A" w:rsidRPr="001563BC" w:rsidRDefault="002F5D0A" w:rsidP="00832E95">
            <w:pPr>
              <w:pStyle w:val="ListParagraph"/>
              <w:rPr>
                <w:sz w:val="24"/>
                <w:szCs w:val="24"/>
              </w:rPr>
            </w:pPr>
          </w:p>
          <w:p w14:paraId="189CA5F3" w14:textId="09A5A2C6" w:rsidR="002F5D0A" w:rsidRPr="001563BC" w:rsidRDefault="002F5D0A" w:rsidP="00A25CD0">
            <w:pPr>
              <w:pStyle w:val="ListParagraph"/>
              <w:numPr>
                <w:ilvl w:val="0"/>
                <w:numId w:val="10"/>
              </w:numPr>
              <w:jc w:val="both"/>
              <w:rPr>
                <w:sz w:val="24"/>
                <w:szCs w:val="24"/>
              </w:rPr>
            </w:pPr>
            <w:r w:rsidRPr="001563BC">
              <w:rPr>
                <w:sz w:val="24"/>
                <w:szCs w:val="24"/>
              </w:rPr>
              <w:t>£</w:t>
            </w:r>
            <w:r w:rsidR="00E7700C" w:rsidRPr="001563BC">
              <w:rPr>
                <w:sz w:val="24"/>
                <w:szCs w:val="24"/>
              </w:rPr>
              <w:t>3</w:t>
            </w:r>
            <w:r w:rsidRPr="001563BC">
              <w:rPr>
                <w:sz w:val="24"/>
                <w:szCs w:val="24"/>
              </w:rPr>
              <w:t>3,000 – reduced drawdown from the Pensions Administration reserve</w:t>
            </w:r>
          </w:p>
          <w:p w14:paraId="26A186AC" w14:textId="77777777" w:rsidR="00C2343F" w:rsidRPr="001563BC" w:rsidRDefault="00C2343F" w:rsidP="00C2343F">
            <w:pPr>
              <w:pStyle w:val="ListParagraph"/>
              <w:rPr>
                <w:sz w:val="24"/>
                <w:szCs w:val="24"/>
              </w:rPr>
            </w:pPr>
          </w:p>
          <w:p w14:paraId="1EBBD32F" w14:textId="56C40E96" w:rsidR="00C2343F" w:rsidRPr="001563BC" w:rsidRDefault="00C2343F" w:rsidP="00A25CD0">
            <w:pPr>
              <w:pStyle w:val="ListParagraph"/>
              <w:numPr>
                <w:ilvl w:val="0"/>
                <w:numId w:val="10"/>
              </w:numPr>
              <w:jc w:val="both"/>
              <w:rPr>
                <w:sz w:val="24"/>
                <w:szCs w:val="24"/>
              </w:rPr>
            </w:pPr>
            <w:r w:rsidRPr="001563BC">
              <w:rPr>
                <w:sz w:val="24"/>
                <w:szCs w:val="24"/>
              </w:rPr>
              <w:t>£81,000</w:t>
            </w:r>
            <w:r w:rsidR="00E7700C" w:rsidRPr="001563BC">
              <w:rPr>
                <w:sz w:val="24"/>
                <w:szCs w:val="24"/>
              </w:rPr>
              <w:t xml:space="preserve"> – contribution to Future Foundations reserve</w:t>
            </w:r>
          </w:p>
          <w:p w14:paraId="4C971605" w14:textId="77777777" w:rsidR="002F5D0A" w:rsidRPr="001563BC" w:rsidRDefault="002F5D0A" w:rsidP="005215BB">
            <w:pPr>
              <w:pStyle w:val="ListParagraph"/>
              <w:jc w:val="both"/>
              <w:rPr>
                <w:sz w:val="24"/>
                <w:szCs w:val="24"/>
              </w:rPr>
            </w:pPr>
            <w:r w:rsidRPr="001563BC">
              <w:rPr>
                <w:sz w:val="24"/>
                <w:szCs w:val="24"/>
              </w:rPr>
              <w:t xml:space="preserve"> </w:t>
            </w:r>
          </w:p>
          <w:p w14:paraId="00628FFE" w14:textId="77777777" w:rsidR="00C2343F" w:rsidRPr="001563BC" w:rsidRDefault="00C2343F" w:rsidP="00455E22">
            <w:pPr>
              <w:jc w:val="both"/>
              <w:rPr>
                <w:b/>
                <w:bCs/>
                <w:sz w:val="24"/>
                <w:szCs w:val="24"/>
              </w:rPr>
            </w:pPr>
            <w:r w:rsidRPr="001563BC">
              <w:rPr>
                <w:b/>
                <w:bCs/>
                <w:sz w:val="24"/>
                <w:szCs w:val="24"/>
              </w:rPr>
              <w:t>General Reserve – Increase of £144,000</w:t>
            </w:r>
          </w:p>
          <w:p w14:paraId="461785B8" w14:textId="77777777" w:rsidR="00C2343F" w:rsidRPr="001563BC" w:rsidRDefault="00C2343F" w:rsidP="00455E22">
            <w:pPr>
              <w:jc w:val="both"/>
              <w:rPr>
                <w:b/>
                <w:bCs/>
                <w:sz w:val="24"/>
                <w:szCs w:val="24"/>
              </w:rPr>
            </w:pPr>
          </w:p>
          <w:p w14:paraId="18F13AF9" w14:textId="73DCD9CC" w:rsidR="00C2343F" w:rsidRPr="001563BC" w:rsidRDefault="00E7700C" w:rsidP="00C2343F">
            <w:pPr>
              <w:pStyle w:val="ListParagraph"/>
              <w:numPr>
                <w:ilvl w:val="0"/>
                <w:numId w:val="24"/>
              </w:numPr>
              <w:jc w:val="both"/>
              <w:rPr>
                <w:b/>
                <w:bCs/>
                <w:sz w:val="24"/>
                <w:szCs w:val="24"/>
              </w:rPr>
            </w:pPr>
            <w:r w:rsidRPr="001563BC">
              <w:rPr>
                <w:sz w:val="24"/>
                <w:szCs w:val="24"/>
              </w:rPr>
              <w:t>£144,000 – increased contribution to general reserve from 2022/23 underspend on wholetime recruitment previously held in People Strategy reserve</w:t>
            </w:r>
          </w:p>
          <w:p w14:paraId="4406BF68" w14:textId="77777777" w:rsidR="00E7700C" w:rsidRPr="001563BC" w:rsidRDefault="00E7700C" w:rsidP="00E7700C">
            <w:pPr>
              <w:pStyle w:val="ListParagraph"/>
              <w:jc w:val="both"/>
              <w:rPr>
                <w:b/>
                <w:bCs/>
                <w:sz w:val="24"/>
                <w:szCs w:val="24"/>
              </w:rPr>
            </w:pPr>
          </w:p>
          <w:p w14:paraId="5B34A73D" w14:textId="603AAD4E" w:rsidR="002F5D0A" w:rsidRPr="001563BC" w:rsidRDefault="002F5D0A" w:rsidP="00455E22">
            <w:pPr>
              <w:jc w:val="both"/>
              <w:rPr>
                <w:b/>
                <w:bCs/>
                <w:sz w:val="24"/>
                <w:szCs w:val="24"/>
              </w:rPr>
            </w:pPr>
            <w:r w:rsidRPr="001563BC">
              <w:rPr>
                <w:b/>
                <w:bCs/>
                <w:sz w:val="24"/>
                <w:szCs w:val="24"/>
              </w:rPr>
              <w:t>Capital Reserves – Decrease £6,000</w:t>
            </w:r>
          </w:p>
          <w:p w14:paraId="0E00BECF" w14:textId="77777777" w:rsidR="002F5D0A" w:rsidRPr="001563BC" w:rsidRDefault="002F5D0A" w:rsidP="00455E22">
            <w:pPr>
              <w:jc w:val="both"/>
              <w:rPr>
                <w:b/>
                <w:bCs/>
                <w:sz w:val="24"/>
                <w:szCs w:val="24"/>
              </w:rPr>
            </w:pPr>
          </w:p>
          <w:p w14:paraId="4DA4B10A" w14:textId="77777777" w:rsidR="002F5D0A" w:rsidRPr="001563BC" w:rsidRDefault="002F5D0A" w:rsidP="00B85887">
            <w:pPr>
              <w:pStyle w:val="ListParagraph"/>
              <w:numPr>
                <w:ilvl w:val="0"/>
                <w:numId w:val="18"/>
              </w:numPr>
              <w:jc w:val="both"/>
              <w:rPr>
                <w:rFonts w:eastAsia="Times New Roman" w:cs="Arial"/>
                <w:sz w:val="24"/>
                <w:szCs w:val="24"/>
              </w:rPr>
            </w:pPr>
            <w:r w:rsidRPr="001563BC">
              <w:rPr>
                <w:sz w:val="24"/>
                <w:szCs w:val="24"/>
              </w:rPr>
              <w:t>£6,000 – due to balance of Capital Receipts Reserve being lower than anticipated when the budget was set and additional capital receipts received during 2023/24.</w:t>
            </w:r>
          </w:p>
          <w:p w14:paraId="6866AEAA" w14:textId="0AA0AA1D" w:rsidR="002F5D0A" w:rsidRPr="001563BC" w:rsidRDefault="002F5D0A" w:rsidP="009C5A32">
            <w:pPr>
              <w:jc w:val="both"/>
              <w:rPr>
                <w:rFonts w:eastAsia="Times New Roman" w:cs="Arial"/>
                <w:sz w:val="24"/>
                <w:szCs w:val="24"/>
              </w:rPr>
            </w:pPr>
          </w:p>
        </w:tc>
      </w:tr>
      <w:tr w:rsidR="002F5D0A" w:rsidRPr="00301D4F" w14:paraId="22FC6996" w14:textId="77777777" w:rsidTr="00BF65A0">
        <w:trPr>
          <w:gridAfter w:val="1"/>
          <w:wAfter w:w="249" w:type="dxa"/>
        </w:trPr>
        <w:tc>
          <w:tcPr>
            <w:tcW w:w="885" w:type="dxa"/>
            <w:gridSpan w:val="2"/>
          </w:tcPr>
          <w:p w14:paraId="2ECAD597" w14:textId="2AF7B39B" w:rsidR="002F5D0A" w:rsidRPr="000677F0" w:rsidRDefault="002F5D0A" w:rsidP="00573DBD">
            <w:pPr>
              <w:rPr>
                <w:rFonts w:eastAsia="Times New Roman" w:cs="Arial"/>
                <w:b/>
                <w:sz w:val="24"/>
                <w:szCs w:val="24"/>
              </w:rPr>
            </w:pPr>
            <w:r w:rsidRPr="000677F0">
              <w:rPr>
                <w:rFonts w:eastAsia="Times New Roman" w:cs="Arial"/>
                <w:b/>
                <w:sz w:val="24"/>
                <w:szCs w:val="24"/>
              </w:rPr>
              <w:lastRenderedPageBreak/>
              <w:t>11.</w:t>
            </w:r>
          </w:p>
        </w:tc>
        <w:tc>
          <w:tcPr>
            <w:tcW w:w="8931" w:type="dxa"/>
          </w:tcPr>
          <w:p w14:paraId="7BB21812" w14:textId="77777777" w:rsidR="002F5D0A" w:rsidRPr="000677F0" w:rsidRDefault="002F5D0A" w:rsidP="00455E22">
            <w:pPr>
              <w:jc w:val="both"/>
              <w:rPr>
                <w:rFonts w:eastAsia="Times New Roman" w:cs="Arial"/>
                <w:b/>
                <w:color w:val="000000" w:themeColor="text1"/>
                <w:sz w:val="24"/>
                <w:szCs w:val="24"/>
                <w:u w:val="single"/>
              </w:rPr>
            </w:pPr>
            <w:r w:rsidRPr="000677F0">
              <w:rPr>
                <w:rFonts w:eastAsia="Times New Roman" w:cs="Arial"/>
                <w:b/>
                <w:color w:val="000000" w:themeColor="text1"/>
                <w:sz w:val="24"/>
                <w:szCs w:val="24"/>
                <w:u w:val="single"/>
              </w:rPr>
              <w:t>BORROWING AND INVESTMENT</w:t>
            </w:r>
          </w:p>
          <w:p w14:paraId="3670DDDE" w14:textId="73E9EC88" w:rsidR="002F5D0A" w:rsidRPr="000677F0" w:rsidRDefault="002F5D0A" w:rsidP="0092593E">
            <w:pPr>
              <w:jc w:val="both"/>
              <w:rPr>
                <w:rFonts w:eastAsia="Times New Roman" w:cs="Arial"/>
                <w:b/>
                <w:color w:val="000000" w:themeColor="text1"/>
                <w:sz w:val="24"/>
                <w:szCs w:val="24"/>
                <w:u w:val="single"/>
              </w:rPr>
            </w:pPr>
          </w:p>
        </w:tc>
      </w:tr>
      <w:tr w:rsidR="002F5D0A" w:rsidRPr="00301D4F" w14:paraId="5F630252" w14:textId="77777777" w:rsidTr="00BF65A0">
        <w:trPr>
          <w:gridAfter w:val="1"/>
          <w:wAfter w:w="249" w:type="dxa"/>
        </w:trPr>
        <w:tc>
          <w:tcPr>
            <w:tcW w:w="885" w:type="dxa"/>
            <w:gridSpan w:val="2"/>
          </w:tcPr>
          <w:p w14:paraId="3D49A2BA" w14:textId="48C9F644" w:rsidR="002F5D0A" w:rsidRPr="00301D4F" w:rsidRDefault="002F5D0A" w:rsidP="00573DBD">
            <w:pPr>
              <w:rPr>
                <w:rFonts w:eastAsia="Times New Roman" w:cs="Arial"/>
                <w:b/>
                <w:sz w:val="24"/>
                <w:szCs w:val="24"/>
                <w:highlight w:val="yellow"/>
              </w:rPr>
            </w:pPr>
            <w:r w:rsidRPr="0056682E">
              <w:rPr>
                <w:rFonts w:eastAsia="Times New Roman" w:cs="Arial"/>
                <w:sz w:val="24"/>
                <w:szCs w:val="24"/>
              </w:rPr>
              <w:t>11.1</w:t>
            </w:r>
          </w:p>
        </w:tc>
        <w:tc>
          <w:tcPr>
            <w:tcW w:w="8931" w:type="dxa"/>
          </w:tcPr>
          <w:p w14:paraId="06F97AFA" w14:textId="77777777" w:rsidR="002F5D0A" w:rsidRPr="0056682E" w:rsidRDefault="002F5D0A" w:rsidP="00E95F61">
            <w:pPr>
              <w:jc w:val="both"/>
              <w:rPr>
                <w:rFonts w:eastAsia="Times New Roman" w:cs="Arial"/>
                <w:sz w:val="24"/>
                <w:szCs w:val="24"/>
              </w:rPr>
            </w:pPr>
            <w:r w:rsidRPr="0056682E">
              <w:rPr>
                <w:rFonts w:eastAsia="Times New Roman" w:cs="Arial"/>
                <w:sz w:val="24"/>
                <w:szCs w:val="24"/>
              </w:rPr>
              <w:t xml:space="preserve">As at end November, the Authority held cash balances of £17,290,000 which were invested in accordance with the Treasury Management Strategy, as follows: </w:t>
            </w:r>
          </w:p>
          <w:p w14:paraId="2BEF8E5B" w14:textId="77777777" w:rsidR="002F5D0A" w:rsidRPr="0056682E" w:rsidRDefault="002F5D0A" w:rsidP="00E95F61">
            <w:pPr>
              <w:jc w:val="both"/>
              <w:rPr>
                <w:rFonts w:eastAsia="Times New Roman" w:cs="Arial"/>
                <w:sz w:val="24"/>
                <w:szCs w:val="24"/>
              </w:rPr>
            </w:pPr>
          </w:p>
          <w:p w14:paraId="2035021E" w14:textId="77777777" w:rsidR="002F5D0A" w:rsidRPr="0056682E" w:rsidRDefault="002F5D0A" w:rsidP="001E1CF6">
            <w:pPr>
              <w:jc w:val="center"/>
              <w:rPr>
                <w:rFonts w:eastAsia="Times New Roman" w:cs="Arial"/>
                <w:sz w:val="24"/>
                <w:szCs w:val="24"/>
              </w:rPr>
            </w:pPr>
            <w:r w:rsidRPr="0056682E">
              <w:rPr>
                <w:rFonts w:eastAsia="Times New Roman" w:cs="Arial"/>
                <w:noProof/>
                <w:sz w:val="24"/>
                <w:szCs w:val="24"/>
              </w:rPr>
              <w:drawing>
                <wp:inline distT="0" distB="0" distL="0" distR="0" wp14:anchorId="2C9EF032" wp14:editId="687189F3">
                  <wp:extent cx="4761230" cy="1657985"/>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230" cy="1657985"/>
                          </a:xfrm>
                          <a:prstGeom prst="rect">
                            <a:avLst/>
                          </a:prstGeom>
                          <a:noFill/>
                        </pic:spPr>
                      </pic:pic>
                    </a:graphicData>
                  </a:graphic>
                </wp:inline>
              </w:drawing>
            </w:r>
          </w:p>
          <w:p w14:paraId="4CF49E20" w14:textId="77777777" w:rsidR="002F5D0A" w:rsidRPr="00301D4F" w:rsidRDefault="002F5D0A" w:rsidP="0092593E">
            <w:pPr>
              <w:jc w:val="both"/>
              <w:rPr>
                <w:rFonts w:eastAsia="Times New Roman" w:cs="Arial"/>
                <w:b/>
                <w:color w:val="000000" w:themeColor="text1"/>
                <w:sz w:val="24"/>
                <w:szCs w:val="24"/>
                <w:highlight w:val="yellow"/>
                <w:u w:val="single"/>
              </w:rPr>
            </w:pPr>
          </w:p>
        </w:tc>
      </w:tr>
      <w:tr w:rsidR="002F5D0A" w:rsidRPr="00301D4F" w14:paraId="57E57D7A" w14:textId="77777777" w:rsidTr="00BF65A0">
        <w:trPr>
          <w:gridAfter w:val="1"/>
          <w:wAfter w:w="249" w:type="dxa"/>
        </w:trPr>
        <w:tc>
          <w:tcPr>
            <w:tcW w:w="885" w:type="dxa"/>
            <w:gridSpan w:val="2"/>
          </w:tcPr>
          <w:p w14:paraId="08C83444" w14:textId="66C61CAC" w:rsidR="002F5D0A" w:rsidRPr="000677F0" w:rsidRDefault="002F5D0A" w:rsidP="00573DBD">
            <w:pPr>
              <w:rPr>
                <w:rFonts w:eastAsia="Times New Roman" w:cs="Arial"/>
                <w:bCs/>
                <w:sz w:val="24"/>
                <w:szCs w:val="24"/>
              </w:rPr>
            </w:pPr>
          </w:p>
        </w:tc>
        <w:tc>
          <w:tcPr>
            <w:tcW w:w="8931" w:type="dxa"/>
          </w:tcPr>
          <w:p w14:paraId="0389C8B5" w14:textId="77777777" w:rsidR="002F5D0A" w:rsidRPr="000677F0" w:rsidRDefault="002F5D0A" w:rsidP="0092593E">
            <w:pPr>
              <w:jc w:val="both"/>
              <w:rPr>
                <w:rFonts w:eastAsia="Times New Roman" w:cs="Arial"/>
                <w:b/>
                <w:color w:val="000000" w:themeColor="text1"/>
                <w:sz w:val="24"/>
                <w:szCs w:val="24"/>
                <w:u w:val="single"/>
              </w:rPr>
            </w:pPr>
          </w:p>
        </w:tc>
      </w:tr>
      <w:tr w:rsidR="002F5D0A" w:rsidRPr="00301D4F" w14:paraId="7C6435D1" w14:textId="77777777" w:rsidTr="00BF65A0">
        <w:trPr>
          <w:gridAfter w:val="1"/>
          <w:wAfter w:w="249" w:type="dxa"/>
        </w:trPr>
        <w:tc>
          <w:tcPr>
            <w:tcW w:w="885" w:type="dxa"/>
            <w:gridSpan w:val="2"/>
          </w:tcPr>
          <w:p w14:paraId="0E8121D7" w14:textId="5946D3D1" w:rsidR="002F5D0A" w:rsidRPr="0086173B" w:rsidRDefault="002F5D0A" w:rsidP="00573DBD">
            <w:pPr>
              <w:rPr>
                <w:rFonts w:eastAsia="Times New Roman" w:cs="Arial"/>
                <w:b/>
                <w:sz w:val="24"/>
                <w:szCs w:val="24"/>
              </w:rPr>
            </w:pPr>
            <w:r w:rsidRPr="0086173B">
              <w:rPr>
                <w:rFonts w:eastAsia="Times New Roman" w:cs="Arial"/>
                <w:bCs/>
                <w:sz w:val="24"/>
                <w:szCs w:val="24"/>
              </w:rPr>
              <w:t>11.2</w:t>
            </w:r>
          </w:p>
        </w:tc>
        <w:tc>
          <w:tcPr>
            <w:tcW w:w="8931" w:type="dxa"/>
          </w:tcPr>
          <w:p w14:paraId="0D38D0E5" w14:textId="348E1561" w:rsidR="002F5D0A" w:rsidRPr="0086173B" w:rsidRDefault="002F5D0A" w:rsidP="00B32000">
            <w:pPr>
              <w:jc w:val="both"/>
              <w:rPr>
                <w:rFonts w:eastAsia="Times New Roman" w:cs="Arial"/>
                <w:sz w:val="24"/>
                <w:szCs w:val="24"/>
              </w:rPr>
            </w:pPr>
            <w:r w:rsidRPr="0086173B">
              <w:rPr>
                <w:rFonts w:eastAsia="Times New Roman" w:cs="Arial"/>
                <w:sz w:val="24"/>
                <w:szCs w:val="24"/>
              </w:rPr>
              <w:t>The Bank of England base rate rose 0.25% to 5.25% in August.  We are continuing to see an impact as Banks increase their rates on investments, resulting in higher levels of interest receivable.  Latest modelling indicates the income of around £</w:t>
            </w:r>
            <w:r w:rsidR="0086173B" w:rsidRPr="0086173B">
              <w:rPr>
                <w:rFonts w:eastAsia="Times New Roman" w:cs="Arial"/>
                <w:sz w:val="24"/>
                <w:szCs w:val="24"/>
              </w:rPr>
              <w:t>800</w:t>
            </w:r>
            <w:r w:rsidRPr="0086173B">
              <w:rPr>
                <w:rFonts w:eastAsia="Times New Roman" w:cs="Arial"/>
                <w:sz w:val="24"/>
                <w:szCs w:val="24"/>
              </w:rPr>
              <w:t>,000 can be achieved, £6</w:t>
            </w:r>
            <w:r w:rsidR="0086173B" w:rsidRPr="0086173B">
              <w:rPr>
                <w:rFonts w:eastAsia="Times New Roman" w:cs="Arial"/>
                <w:sz w:val="24"/>
                <w:szCs w:val="24"/>
              </w:rPr>
              <w:t>5</w:t>
            </w:r>
            <w:r w:rsidRPr="0086173B">
              <w:rPr>
                <w:rFonts w:eastAsia="Times New Roman" w:cs="Arial"/>
                <w:sz w:val="24"/>
                <w:szCs w:val="24"/>
              </w:rPr>
              <w:t xml:space="preserve">0,000 above the budgeted level of £150,000.  </w:t>
            </w:r>
          </w:p>
          <w:p w14:paraId="0AFBE3F0" w14:textId="77777777" w:rsidR="002F5D0A" w:rsidRPr="0086173B" w:rsidRDefault="002F5D0A" w:rsidP="0092593E">
            <w:pPr>
              <w:jc w:val="both"/>
              <w:rPr>
                <w:rFonts w:eastAsia="Times New Roman" w:cs="Arial"/>
                <w:b/>
                <w:color w:val="000000" w:themeColor="text1"/>
                <w:sz w:val="24"/>
                <w:szCs w:val="24"/>
                <w:u w:val="single"/>
              </w:rPr>
            </w:pPr>
          </w:p>
        </w:tc>
      </w:tr>
      <w:tr w:rsidR="002F5D0A" w:rsidRPr="00301D4F" w14:paraId="661D3DED" w14:textId="77777777" w:rsidTr="00BF65A0">
        <w:trPr>
          <w:gridAfter w:val="1"/>
          <w:wAfter w:w="249" w:type="dxa"/>
        </w:trPr>
        <w:tc>
          <w:tcPr>
            <w:tcW w:w="885" w:type="dxa"/>
            <w:gridSpan w:val="2"/>
          </w:tcPr>
          <w:p w14:paraId="6D2CFB7F" w14:textId="7A68657F" w:rsidR="002F5D0A" w:rsidRPr="001563BC" w:rsidRDefault="002F5D0A" w:rsidP="00573DBD">
            <w:pPr>
              <w:rPr>
                <w:rFonts w:eastAsia="Times New Roman" w:cs="Arial"/>
                <w:sz w:val="24"/>
                <w:szCs w:val="24"/>
              </w:rPr>
            </w:pPr>
            <w:bookmarkStart w:id="4" w:name="_Hlk122413500"/>
            <w:r w:rsidRPr="001563BC">
              <w:rPr>
                <w:rFonts w:eastAsia="Times New Roman" w:cs="Arial"/>
                <w:sz w:val="24"/>
                <w:szCs w:val="24"/>
              </w:rPr>
              <w:lastRenderedPageBreak/>
              <w:t>11.3</w:t>
            </w:r>
          </w:p>
        </w:tc>
        <w:tc>
          <w:tcPr>
            <w:tcW w:w="8931" w:type="dxa"/>
          </w:tcPr>
          <w:p w14:paraId="120AA45D" w14:textId="5714BD6E" w:rsidR="002F5D0A" w:rsidRPr="001563BC" w:rsidRDefault="002F5D0A" w:rsidP="00E95F61">
            <w:pPr>
              <w:jc w:val="both"/>
            </w:pPr>
            <w:r w:rsidRPr="001563BC">
              <w:rPr>
                <w:rFonts w:eastAsia="Times New Roman" w:cs="Arial"/>
                <w:sz w:val="24"/>
                <w:szCs w:val="24"/>
              </w:rPr>
              <w:t>The current forecast of a reduction in reserves of £</w:t>
            </w:r>
            <w:r w:rsidR="001563BC" w:rsidRPr="001563BC">
              <w:rPr>
                <w:rFonts w:eastAsia="Times New Roman" w:cs="Arial"/>
                <w:sz w:val="24"/>
                <w:szCs w:val="24"/>
              </w:rPr>
              <w:t>5</w:t>
            </w:r>
            <w:r w:rsidRPr="001563BC">
              <w:rPr>
                <w:rFonts w:eastAsia="Times New Roman" w:cs="Arial"/>
                <w:sz w:val="24"/>
                <w:szCs w:val="24"/>
              </w:rPr>
              <w:t>.</w:t>
            </w:r>
            <w:r w:rsidR="001563BC" w:rsidRPr="001563BC">
              <w:rPr>
                <w:rFonts w:eastAsia="Times New Roman" w:cs="Arial"/>
                <w:sz w:val="24"/>
                <w:szCs w:val="24"/>
              </w:rPr>
              <w:t>751</w:t>
            </w:r>
            <w:r w:rsidRPr="001563BC">
              <w:rPr>
                <w:rFonts w:eastAsia="Times New Roman" w:cs="Arial"/>
                <w:sz w:val="24"/>
                <w:szCs w:val="24"/>
              </w:rPr>
              <w:t>m means that the Service will need to monitor its liquidity and cashflow closely during the year and this may involve giving notice on some of its existing investments.</w:t>
            </w:r>
            <w:r w:rsidRPr="001563BC">
              <w:rPr>
                <w:rFonts w:eastAsia="Times New Roman" w:cs="Arial"/>
                <w:color w:val="FF0000"/>
                <w:sz w:val="24"/>
                <w:szCs w:val="24"/>
              </w:rPr>
              <w:t xml:space="preserve"> </w:t>
            </w:r>
            <w:r w:rsidRPr="001563BC">
              <w:rPr>
                <w:rFonts w:eastAsia="Times New Roman" w:cs="Arial"/>
                <w:sz w:val="24"/>
                <w:szCs w:val="24"/>
              </w:rPr>
              <w:t xml:space="preserve">Finance continues to work with the ESCC Treasury Management team to improve cash-flow monitoring. </w:t>
            </w:r>
          </w:p>
          <w:p w14:paraId="71B92069" w14:textId="222ED466" w:rsidR="002F5D0A" w:rsidRPr="001563BC" w:rsidRDefault="002F5D0A" w:rsidP="00573DBD">
            <w:pPr>
              <w:rPr>
                <w:rFonts w:eastAsia="Times New Roman" w:cs="Arial"/>
                <w:sz w:val="24"/>
                <w:szCs w:val="24"/>
              </w:rPr>
            </w:pPr>
          </w:p>
        </w:tc>
      </w:tr>
      <w:tr w:rsidR="002F5D0A" w:rsidRPr="00301D4F" w14:paraId="334142DD" w14:textId="77777777" w:rsidTr="00BF65A0">
        <w:trPr>
          <w:gridAfter w:val="1"/>
          <w:wAfter w:w="249" w:type="dxa"/>
        </w:trPr>
        <w:tc>
          <w:tcPr>
            <w:tcW w:w="885" w:type="dxa"/>
            <w:gridSpan w:val="2"/>
          </w:tcPr>
          <w:p w14:paraId="0EBC22F7" w14:textId="48FD5BAB" w:rsidR="002F5D0A" w:rsidRPr="0056682E" w:rsidRDefault="002F5D0A" w:rsidP="00573DBD">
            <w:pPr>
              <w:rPr>
                <w:rFonts w:eastAsia="Times New Roman" w:cs="Arial"/>
                <w:sz w:val="24"/>
                <w:szCs w:val="24"/>
              </w:rPr>
            </w:pPr>
            <w:r w:rsidRPr="000677F0">
              <w:rPr>
                <w:rFonts w:eastAsia="Times New Roman" w:cs="Arial"/>
                <w:sz w:val="24"/>
                <w:szCs w:val="24"/>
              </w:rPr>
              <w:t>11.4</w:t>
            </w:r>
          </w:p>
        </w:tc>
        <w:tc>
          <w:tcPr>
            <w:tcW w:w="8931" w:type="dxa"/>
          </w:tcPr>
          <w:p w14:paraId="3AB2836B" w14:textId="77777777" w:rsidR="002F5D0A" w:rsidRPr="000677F0" w:rsidRDefault="002F5D0A" w:rsidP="005378DB">
            <w:pPr>
              <w:pStyle w:val="NormalWeb"/>
              <w:jc w:val="both"/>
              <w:rPr>
                <w:rFonts w:ascii="Arial" w:eastAsia="Times New Roman" w:hAnsi="Arial" w:cs="Arial"/>
              </w:rPr>
            </w:pPr>
            <w:r w:rsidRPr="000677F0">
              <w:rPr>
                <w:rFonts w:ascii="Arial" w:eastAsia="Times New Roman" w:hAnsi="Arial" w:cs="Arial"/>
              </w:rPr>
              <w:t>The Authority’s borrowing has reduced to £9,581,000, with the repayment of 2 loans totalling £236,000 in September 2023.  The increase in base rate does not impact the interest payable on outstanding borrowing as these are subject to fixed interest rate deals.</w:t>
            </w:r>
          </w:p>
          <w:p w14:paraId="6D68609B" w14:textId="77777777" w:rsidR="002F5D0A" w:rsidRPr="000677F0" w:rsidRDefault="002F5D0A" w:rsidP="005378DB">
            <w:pPr>
              <w:pStyle w:val="NormalWeb"/>
              <w:jc w:val="both"/>
              <w:rPr>
                <w:rFonts w:ascii="Arial" w:eastAsia="Times New Roman" w:hAnsi="Arial" w:cs="Arial"/>
              </w:rPr>
            </w:pPr>
          </w:p>
          <w:p w14:paraId="584F181D" w14:textId="77777777" w:rsidR="002F5D0A" w:rsidRPr="000677F0" w:rsidRDefault="002F5D0A" w:rsidP="005378DB">
            <w:pPr>
              <w:pStyle w:val="NormalWeb"/>
              <w:jc w:val="both"/>
              <w:rPr>
                <w:rFonts w:ascii="Arial" w:eastAsia="Times New Roman" w:hAnsi="Arial" w:cs="Arial"/>
              </w:rPr>
            </w:pPr>
            <w:r w:rsidRPr="000677F0">
              <w:rPr>
                <w:rFonts w:ascii="Arial" w:eastAsia="Times New Roman" w:hAnsi="Arial" w:cs="Arial"/>
              </w:rPr>
              <w:t>No further borrowing is expected this financial year.</w:t>
            </w:r>
          </w:p>
          <w:p w14:paraId="629618C6" w14:textId="418A5757" w:rsidR="002F5D0A" w:rsidRPr="0056682E" w:rsidRDefault="002F5D0A" w:rsidP="00573DBD">
            <w:pPr>
              <w:rPr>
                <w:rFonts w:eastAsia="Times New Roman" w:cs="Arial"/>
                <w:b/>
                <w:bCs/>
                <w:sz w:val="24"/>
                <w:szCs w:val="24"/>
              </w:rPr>
            </w:pPr>
          </w:p>
        </w:tc>
      </w:tr>
      <w:tr w:rsidR="002F5D0A" w:rsidRPr="00301D4F" w14:paraId="417FC8E8" w14:textId="77777777" w:rsidTr="00BF65A0">
        <w:trPr>
          <w:gridAfter w:val="1"/>
          <w:wAfter w:w="249" w:type="dxa"/>
        </w:trPr>
        <w:tc>
          <w:tcPr>
            <w:tcW w:w="885" w:type="dxa"/>
            <w:gridSpan w:val="2"/>
          </w:tcPr>
          <w:p w14:paraId="0ADD8897" w14:textId="6D5CE979" w:rsidR="002F5D0A" w:rsidRPr="00301D4F" w:rsidRDefault="002F5D0A" w:rsidP="00573DBD">
            <w:pPr>
              <w:rPr>
                <w:rFonts w:eastAsia="Times New Roman" w:cs="Arial"/>
                <w:sz w:val="24"/>
                <w:szCs w:val="24"/>
                <w:highlight w:val="yellow"/>
              </w:rPr>
            </w:pPr>
          </w:p>
        </w:tc>
        <w:tc>
          <w:tcPr>
            <w:tcW w:w="8931" w:type="dxa"/>
          </w:tcPr>
          <w:p w14:paraId="6FCDB403" w14:textId="6D050C76" w:rsidR="002F5D0A" w:rsidRPr="00301D4F" w:rsidRDefault="002F5D0A" w:rsidP="005378DB">
            <w:pPr>
              <w:jc w:val="both"/>
              <w:rPr>
                <w:rFonts w:eastAsia="Times New Roman" w:cs="Arial"/>
                <w:sz w:val="24"/>
                <w:szCs w:val="24"/>
                <w:highlight w:val="yellow"/>
              </w:rPr>
            </w:pPr>
          </w:p>
        </w:tc>
      </w:tr>
      <w:tr w:rsidR="002F5D0A" w:rsidRPr="00301D4F" w14:paraId="69BA4B06" w14:textId="77777777" w:rsidTr="00BF65A0">
        <w:trPr>
          <w:gridAfter w:val="1"/>
          <w:wAfter w:w="249" w:type="dxa"/>
        </w:trPr>
        <w:tc>
          <w:tcPr>
            <w:tcW w:w="885" w:type="dxa"/>
            <w:gridSpan w:val="2"/>
          </w:tcPr>
          <w:p w14:paraId="5E4B42D2" w14:textId="330BF22A" w:rsidR="002F5D0A" w:rsidRPr="000677F0" w:rsidRDefault="002F5D0A" w:rsidP="00573DBD">
            <w:pPr>
              <w:rPr>
                <w:rFonts w:eastAsia="Times New Roman" w:cs="Arial"/>
                <w:sz w:val="24"/>
                <w:szCs w:val="24"/>
              </w:rPr>
            </w:pPr>
          </w:p>
        </w:tc>
        <w:tc>
          <w:tcPr>
            <w:tcW w:w="8931" w:type="dxa"/>
          </w:tcPr>
          <w:p w14:paraId="084F6AA1" w14:textId="025BBA6E" w:rsidR="002F5D0A" w:rsidRPr="000677F0" w:rsidRDefault="002F5D0A" w:rsidP="00B85887">
            <w:pPr>
              <w:jc w:val="both"/>
              <w:rPr>
                <w:rFonts w:eastAsia="Times New Roman" w:cs="Arial"/>
                <w:sz w:val="24"/>
                <w:szCs w:val="24"/>
              </w:rPr>
            </w:pPr>
          </w:p>
        </w:tc>
      </w:tr>
      <w:tr w:rsidR="002F5D0A" w:rsidRPr="00301D4F" w14:paraId="070923D3" w14:textId="77777777" w:rsidTr="00BF65A0">
        <w:trPr>
          <w:gridAfter w:val="1"/>
          <w:wAfter w:w="249" w:type="dxa"/>
        </w:trPr>
        <w:tc>
          <w:tcPr>
            <w:tcW w:w="885" w:type="dxa"/>
            <w:gridSpan w:val="2"/>
          </w:tcPr>
          <w:p w14:paraId="2ADD0949" w14:textId="4895F082" w:rsidR="002F5D0A" w:rsidRPr="00301D4F" w:rsidRDefault="002F5D0A" w:rsidP="00573DBD">
            <w:pPr>
              <w:rPr>
                <w:rFonts w:eastAsia="Times New Roman" w:cs="Arial"/>
                <w:sz w:val="24"/>
                <w:szCs w:val="24"/>
                <w:highlight w:val="yellow"/>
              </w:rPr>
            </w:pPr>
          </w:p>
        </w:tc>
        <w:tc>
          <w:tcPr>
            <w:tcW w:w="8931" w:type="dxa"/>
          </w:tcPr>
          <w:p w14:paraId="7CBA02C4" w14:textId="02A97584" w:rsidR="002F5D0A" w:rsidRPr="00301D4F" w:rsidRDefault="002F5D0A" w:rsidP="00573DBD">
            <w:pPr>
              <w:rPr>
                <w:rFonts w:eastAsia="Times New Roman" w:cs="Arial"/>
                <w:sz w:val="24"/>
                <w:szCs w:val="24"/>
                <w:highlight w:val="yellow"/>
              </w:rPr>
            </w:pPr>
          </w:p>
        </w:tc>
      </w:tr>
      <w:tr w:rsidR="002F5D0A" w:rsidRPr="00301D4F" w14:paraId="56CEB69D" w14:textId="77777777" w:rsidTr="00BF65A0">
        <w:trPr>
          <w:gridAfter w:val="1"/>
          <w:wAfter w:w="249" w:type="dxa"/>
        </w:trPr>
        <w:tc>
          <w:tcPr>
            <w:tcW w:w="885" w:type="dxa"/>
            <w:gridSpan w:val="2"/>
          </w:tcPr>
          <w:p w14:paraId="09934F67" w14:textId="3DC2AE83" w:rsidR="002F5D0A" w:rsidRPr="00301D4F" w:rsidRDefault="002F5D0A" w:rsidP="00573DBD">
            <w:pPr>
              <w:rPr>
                <w:rFonts w:eastAsia="Times New Roman" w:cs="Arial"/>
                <w:bCs/>
                <w:sz w:val="24"/>
                <w:szCs w:val="24"/>
                <w:highlight w:val="yellow"/>
              </w:rPr>
            </w:pPr>
          </w:p>
        </w:tc>
        <w:tc>
          <w:tcPr>
            <w:tcW w:w="8931" w:type="dxa"/>
          </w:tcPr>
          <w:p w14:paraId="7359CB07" w14:textId="0173EEBF" w:rsidR="002F5D0A" w:rsidRPr="00301D4F" w:rsidRDefault="002F5D0A" w:rsidP="001E1CF6">
            <w:pPr>
              <w:pStyle w:val="ListParagraph"/>
              <w:jc w:val="center"/>
              <w:rPr>
                <w:rFonts w:eastAsia="Times New Roman" w:cs="Arial"/>
                <w:sz w:val="24"/>
                <w:szCs w:val="24"/>
                <w:highlight w:val="yellow"/>
              </w:rPr>
            </w:pPr>
          </w:p>
        </w:tc>
      </w:tr>
      <w:bookmarkEnd w:id="4"/>
      <w:tr w:rsidR="002F5D0A" w:rsidRPr="00301D4F" w14:paraId="26BA4894" w14:textId="77777777" w:rsidTr="00BF65A0">
        <w:trPr>
          <w:gridAfter w:val="1"/>
          <w:wAfter w:w="249" w:type="dxa"/>
        </w:trPr>
        <w:tc>
          <w:tcPr>
            <w:tcW w:w="885" w:type="dxa"/>
            <w:gridSpan w:val="2"/>
          </w:tcPr>
          <w:p w14:paraId="48E87560" w14:textId="70ADA285" w:rsidR="002F5D0A" w:rsidRPr="00301D4F" w:rsidRDefault="002F5D0A" w:rsidP="002828E0">
            <w:pPr>
              <w:rPr>
                <w:rFonts w:eastAsia="Times New Roman" w:cs="Arial"/>
                <w:sz w:val="24"/>
                <w:szCs w:val="24"/>
                <w:highlight w:val="yellow"/>
              </w:rPr>
            </w:pPr>
          </w:p>
        </w:tc>
        <w:tc>
          <w:tcPr>
            <w:tcW w:w="8931" w:type="dxa"/>
          </w:tcPr>
          <w:p w14:paraId="18EBBCE4" w14:textId="7B6C8B02" w:rsidR="002F5D0A" w:rsidRPr="00301D4F" w:rsidRDefault="002F5D0A" w:rsidP="005378DB">
            <w:pPr>
              <w:pStyle w:val="NormalWeb"/>
              <w:jc w:val="both"/>
              <w:rPr>
                <w:rFonts w:ascii="Arial" w:eastAsia="Times New Roman" w:hAnsi="Arial" w:cs="Arial"/>
                <w:highlight w:val="yellow"/>
              </w:rPr>
            </w:pPr>
          </w:p>
        </w:tc>
      </w:tr>
      <w:tr w:rsidR="002F5D0A" w:rsidRPr="00301D4F" w14:paraId="4395910B" w14:textId="77777777" w:rsidTr="00BF65A0">
        <w:trPr>
          <w:gridAfter w:val="1"/>
          <w:wAfter w:w="249" w:type="dxa"/>
        </w:trPr>
        <w:tc>
          <w:tcPr>
            <w:tcW w:w="885" w:type="dxa"/>
            <w:gridSpan w:val="2"/>
          </w:tcPr>
          <w:p w14:paraId="537F0FC2" w14:textId="40D20CAB" w:rsidR="002F5D0A" w:rsidRPr="00301D4F" w:rsidRDefault="002F5D0A" w:rsidP="002828E0">
            <w:pPr>
              <w:rPr>
                <w:rFonts w:eastAsia="Times New Roman" w:cs="Arial"/>
                <w:sz w:val="24"/>
                <w:szCs w:val="24"/>
                <w:highlight w:val="yellow"/>
              </w:rPr>
            </w:pPr>
          </w:p>
        </w:tc>
        <w:tc>
          <w:tcPr>
            <w:tcW w:w="8931" w:type="dxa"/>
          </w:tcPr>
          <w:p w14:paraId="2075B81A" w14:textId="77777777" w:rsidR="002F5D0A" w:rsidRPr="00301D4F" w:rsidRDefault="002F5D0A" w:rsidP="00E95F61">
            <w:pPr>
              <w:spacing w:line="276" w:lineRule="auto"/>
              <w:jc w:val="right"/>
              <w:rPr>
                <w:rFonts w:eastAsia="Times New Roman" w:cs="Arial"/>
                <w:b/>
                <w:sz w:val="24"/>
                <w:szCs w:val="24"/>
                <w:highlight w:val="yellow"/>
              </w:rPr>
            </w:pPr>
          </w:p>
          <w:p w14:paraId="5F247BB6" w14:textId="77777777" w:rsidR="002F5D0A" w:rsidRPr="00301D4F" w:rsidRDefault="002F5D0A" w:rsidP="00E95F61">
            <w:pPr>
              <w:spacing w:line="276" w:lineRule="auto"/>
              <w:jc w:val="right"/>
              <w:rPr>
                <w:rFonts w:eastAsia="Times New Roman" w:cs="Arial"/>
                <w:b/>
                <w:sz w:val="24"/>
                <w:szCs w:val="24"/>
                <w:highlight w:val="yellow"/>
              </w:rPr>
            </w:pPr>
          </w:p>
          <w:p w14:paraId="15AACCC9" w14:textId="77777777" w:rsidR="002F5D0A" w:rsidRPr="00301D4F" w:rsidRDefault="002F5D0A" w:rsidP="00E95F61">
            <w:pPr>
              <w:spacing w:line="276" w:lineRule="auto"/>
              <w:jc w:val="right"/>
              <w:rPr>
                <w:rFonts w:eastAsia="Times New Roman" w:cs="Arial"/>
                <w:b/>
                <w:sz w:val="24"/>
                <w:szCs w:val="24"/>
                <w:highlight w:val="yellow"/>
              </w:rPr>
            </w:pPr>
          </w:p>
          <w:p w14:paraId="547D1636" w14:textId="77777777" w:rsidR="002F5D0A" w:rsidRDefault="002F5D0A" w:rsidP="00FE6E1D">
            <w:pPr>
              <w:jc w:val="both"/>
              <w:rPr>
                <w:rFonts w:eastAsia="Times New Roman" w:cs="Arial"/>
                <w:sz w:val="24"/>
                <w:szCs w:val="24"/>
                <w:highlight w:val="yellow"/>
              </w:rPr>
            </w:pPr>
          </w:p>
          <w:p w14:paraId="267892BD" w14:textId="77777777" w:rsidR="0086173B" w:rsidRDefault="0086173B" w:rsidP="00FE6E1D">
            <w:pPr>
              <w:jc w:val="both"/>
              <w:rPr>
                <w:rFonts w:eastAsia="Times New Roman" w:cs="Arial"/>
                <w:sz w:val="24"/>
                <w:szCs w:val="24"/>
                <w:highlight w:val="yellow"/>
              </w:rPr>
            </w:pPr>
          </w:p>
          <w:p w14:paraId="39CFD82B" w14:textId="77777777" w:rsidR="0086173B" w:rsidRDefault="0086173B" w:rsidP="00FE6E1D">
            <w:pPr>
              <w:jc w:val="both"/>
              <w:rPr>
                <w:rFonts w:eastAsia="Times New Roman" w:cs="Arial"/>
                <w:sz w:val="24"/>
                <w:szCs w:val="24"/>
                <w:highlight w:val="yellow"/>
              </w:rPr>
            </w:pPr>
          </w:p>
          <w:p w14:paraId="4A843337" w14:textId="77777777" w:rsidR="0086173B" w:rsidRDefault="0086173B" w:rsidP="00FE6E1D">
            <w:pPr>
              <w:jc w:val="both"/>
              <w:rPr>
                <w:rFonts w:eastAsia="Times New Roman" w:cs="Arial"/>
                <w:sz w:val="24"/>
                <w:szCs w:val="24"/>
                <w:highlight w:val="yellow"/>
              </w:rPr>
            </w:pPr>
          </w:p>
          <w:p w14:paraId="3B903183" w14:textId="77777777" w:rsidR="0086173B" w:rsidRDefault="0086173B" w:rsidP="00FE6E1D">
            <w:pPr>
              <w:jc w:val="both"/>
              <w:rPr>
                <w:rFonts w:eastAsia="Times New Roman" w:cs="Arial"/>
                <w:sz w:val="24"/>
                <w:szCs w:val="24"/>
                <w:highlight w:val="yellow"/>
              </w:rPr>
            </w:pPr>
          </w:p>
          <w:p w14:paraId="1127A346" w14:textId="77777777" w:rsidR="0086173B" w:rsidRDefault="0086173B" w:rsidP="00FE6E1D">
            <w:pPr>
              <w:jc w:val="both"/>
              <w:rPr>
                <w:rFonts w:eastAsia="Times New Roman" w:cs="Arial"/>
                <w:sz w:val="24"/>
                <w:szCs w:val="24"/>
                <w:highlight w:val="yellow"/>
              </w:rPr>
            </w:pPr>
          </w:p>
          <w:p w14:paraId="3AAB128B" w14:textId="77777777" w:rsidR="0086173B" w:rsidRDefault="0086173B" w:rsidP="00FE6E1D">
            <w:pPr>
              <w:jc w:val="both"/>
              <w:rPr>
                <w:rFonts w:eastAsia="Times New Roman" w:cs="Arial"/>
                <w:sz w:val="24"/>
                <w:szCs w:val="24"/>
                <w:highlight w:val="yellow"/>
              </w:rPr>
            </w:pPr>
          </w:p>
          <w:p w14:paraId="3E74E78E" w14:textId="77777777" w:rsidR="0086173B" w:rsidRDefault="0086173B" w:rsidP="00FE6E1D">
            <w:pPr>
              <w:jc w:val="both"/>
              <w:rPr>
                <w:rFonts w:eastAsia="Times New Roman" w:cs="Arial"/>
                <w:sz w:val="24"/>
                <w:szCs w:val="24"/>
                <w:highlight w:val="yellow"/>
              </w:rPr>
            </w:pPr>
          </w:p>
          <w:p w14:paraId="3969FB83" w14:textId="77777777" w:rsidR="0086173B" w:rsidRDefault="0086173B" w:rsidP="00FE6E1D">
            <w:pPr>
              <w:jc w:val="both"/>
              <w:rPr>
                <w:rFonts w:eastAsia="Times New Roman" w:cs="Arial"/>
                <w:sz w:val="24"/>
                <w:szCs w:val="24"/>
                <w:highlight w:val="yellow"/>
              </w:rPr>
            </w:pPr>
          </w:p>
          <w:p w14:paraId="72824422" w14:textId="77777777" w:rsidR="00506216" w:rsidRDefault="00506216" w:rsidP="00FE6E1D">
            <w:pPr>
              <w:jc w:val="both"/>
              <w:rPr>
                <w:rFonts w:eastAsia="Times New Roman" w:cs="Arial"/>
                <w:sz w:val="24"/>
                <w:szCs w:val="24"/>
                <w:highlight w:val="yellow"/>
              </w:rPr>
            </w:pPr>
          </w:p>
          <w:p w14:paraId="6D75FB4C" w14:textId="77777777" w:rsidR="00506216" w:rsidRDefault="00506216" w:rsidP="00FE6E1D">
            <w:pPr>
              <w:jc w:val="both"/>
              <w:rPr>
                <w:rFonts w:eastAsia="Times New Roman" w:cs="Arial"/>
                <w:sz w:val="24"/>
                <w:szCs w:val="24"/>
                <w:highlight w:val="yellow"/>
              </w:rPr>
            </w:pPr>
          </w:p>
          <w:p w14:paraId="61AB32E4" w14:textId="77777777" w:rsidR="00506216" w:rsidRDefault="00506216" w:rsidP="00FE6E1D">
            <w:pPr>
              <w:jc w:val="both"/>
              <w:rPr>
                <w:rFonts w:eastAsia="Times New Roman" w:cs="Arial"/>
                <w:sz w:val="24"/>
                <w:szCs w:val="24"/>
                <w:highlight w:val="yellow"/>
              </w:rPr>
            </w:pPr>
          </w:p>
          <w:p w14:paraId="5C658B65" w14:textId="77777777" w:rsidR="00506216" w:rsidRDefault="00506216" w:rsidP="00FE6E1D">
            <w:pPr>
              <w:jc w:val="both"/>
              <w:rPr>
                <w:rFonts w:eastAsia="Times New Roman" w:cs="Arial"/>
                <w:sz w:val="24"/>
                <w:szCs w:val="24"/>
                <w:highlight w:val="yellow"/>
              </w:rPr>
            </w:pPr>
          </w:p>
          <w:p w14:paraId="58C9EB80" w14:textId="77777777" w:rsidR="00506216" w:rsidRDefault="00506216" w:rsidP="00FE6E1D">
            <w:pPr>
              <w:jc w:val="both"/>
              <w:rPr>
                <w:rFonts w:eastAsia="Times New Roman" w:cs="Arial"/>
                <w:sz w:val="24"/>
                <w:szCs w:val="24"/>
                <w:highlight w:val="yellow"/>
              </w:rPr>
            </w:pPr>
          </w:p>
          <w:p w14:paraId="58BB1AD3" w14:textId="77777777" w:rsidR="00506216" w:rsidRDefault="00506216" w:rsidP="00FE6E1D">
            <w:pPr>
              <w:jc w:val="both"/>
              <w:rPr>
                <w:rFonts w:eastAsia="Times New Roman" w:cs="Arial"/>
                <w:sz w:val="24"/>
                <w:szCs w:val="24"/>
                <w:highlight w:val="yellow"/>
              </w:rPr>
            </w:pPr>
          </w:p>
          <w:p w14:paraId="46957C6E" w14:textId="77777777" w:rsidR="00506216" w:rsidRDefault="00506216" w:rsidP="00FE6E1D">
            <w:pPr>
              <w:jc w:val="both"/>
              <w:rPr>
                <w:rFonts w:eastAsia="Times New Roman" w:cs="Arial"/>
                <w:sz w:val="24"/>
                <w:szCs w:val="24"/>
                <w:highlight w:val="yellow"/>
              </w:rPr>
            </w:pPr>
          </w:p>
          <w:p w14:paraId="1A25551D" w14:textId="77777777" w:rsidR="00506216" w:rsidRDefault="00506216" w:rsidP="00FE6E1D">
            <w:pPr>
              <w:jc w:val="both"/>
              <w:rPr>
                <w:rFonts w:eastAsia="Times New Roman" w:cs="Arial"/>
                <w:sz w:val="24"/>
                <w:szCs w:val="24"/>
                <w:highlight w:val="yellow"/>
              </w:rPr>
            </w:pPr>
          </w:p>
          <w:p w14:paraId="7D813671" w14:textId="77777777" w:rsidR="00506216" w:rsidRDefault="00506216" w:rsidP="00FE6E1D">
            <w:pPr>
              <w:jc w:val="both"/>
              <w:rPr>
                <w:rFonts w:eastAsia="Times New Roman" w:cs="Arial"/>
                <w:sz w:val="24"/>
                <w:szCs w:val="24"/>
                <w:highlight w:val="yellow"/>
              </w:rPr>
            </w:pPr>
          </w:p>
          <w:p w14:paraId="21AA7260" w14:textId="77777777" w:rsidR="00506216" w:rsidRDefault="00506216" w:rsidP="00FE6E1D">
            <w:pPr>
              <w:jc w:val="both"/>
              <w:rPr>
                <w:rFonts w:eastAsia="Times New Roman" w:cs="Arial"/>
                <w:sz w:val="24"/>
                <w:szCs w:val="24"/>
                <w:highlight w:val="yellow"/>
              </w:rPr>
            </w:pPr>
          </w:p>
          <w:p w14:paraId="516B723B" w14:textId="77777777" w:rsidR="00506216" w:rsidRDefault="00506216" w:rsidP="00FE6E1D">
            <w:pPr>
              <w:jc w:val="both"/>
              <w:rPr>
                <w:rFonts w:eastAsia="Times New Roman" w:cs="Arial"/>
                <w:sz w:val="24"/>
                <w:szCs w:val="24"/>
                <w:highlight w:val="yellow"/>
              </w:rPr>
            </w:pPr>
          </w:p>
          <w:p w14:paraId="78FBBBA4" w14:textId="77777777" w:rsidR="00506216" w:rsidRDefault="00506216" w:rsidP="00FE6E1D">
            <w:pPr>
              <w:jc w:val="both"/>
              <w:rPr>
                <w:rFonts w:eastAsia="Times New Roman" w:cs="Arial"/>
                <w:sz w:val="24"/>
                <w:szCs w:val="24"/>
                <w:highlight w:val="yellow"/>
              </w:rPr>
            </w:pPr>
          </w:p>
          <w:p w14:paraId="670A67D1" w14:textId="77777777" w:rsidR="00506216" w:rsidRDefault="00506216" w:rsidP="00FE6E1D">
            <w:pPr>
              <w:jc w:val="both"/>
              <w:rPr>
                <w:rFonts w:eastAsia="Times New Roman" w:cs="Arial"/>
                <w:sz w:val="24"/>
                <w:szCs w:val="24"/>
                <w:highlight w:val="yellow"/>
              </w:rPr>
            </w:pPr>
          </w:p>
          <w:p w14:paraId="7BEC73E6" w14:textId="77777777" w:rsidR="00506216" w:rsidRDefault="00506216" w:rsidP="00FE6E1D">
            <w:pPr>
              <w:jc w:val="both"/>
              <w:rPr>
                <w:rFonts w:eastAsia="Times New Roman" w:cs="Arial"/>
                <w:sz w:val="24"/>
                <w:szCs w:val="24"/>
                <w:highlight w:val="yellow"/>
              </w:rPr>
            </w:pPr>
          </w:p>
          <w:p w14:paraId="31A529F7" w14:textId="77777777" w:rsidR="00506216" w:rsidRDefault="00506216" w:rsidP="00FE6E1D">
            <w:pPr>
              <w:jc w:val="both"/>
              <w:rPr>
                <w:rFonts w:eastAsia="Times New Roman" w:cs="Arial"/>
                <w:sz w:val="24"/>
                <w:szCs w:val="24"/>
                <w:highlight w:val="yellow"/>
              </w:rPr>
            </w:pPr>
          </w:p>
          <w:p w14:paraId="63BE0FAF" w14:textId="77777777" w:rsidR="00506216" w:rsidRDefault="00506216" w:rsidP="00FE6E1D">
            <w:pPr>
              <w:jc w:val="both"/>
              <w:rPr>
                <w:rFonts w:eastAsia="Times New Roman" w:cs="Arial"/>
                <w:sz w:val="24"/>
                <w:szCs w:val="24"/>
                <w:highlight w:val="yellow"/>
              </w:rPr>
            </w:pPr>
          </w:p>
          <w:p w14:paraId="1A10E3CA" w14:textId="77777777" w:rsidR="00506216" w:rsidRDefault="00506216" w:rsidP="00FE6E1D">
            <w:pPr>
              <w:jc w:val="both"/>
              <w:rPr>
                <w:rFonts w:eastAsia="Times New Roman" w:cs="Arial"/>
                <w:sz w:val="24"/>
                <w:szCs w:val="24"/>
                <w:highlight w:val="yellow"/>
              </w:rPr>
            </w:pPr>
          </w:p>
          <w:p w14:paraId="2ABA4B52" w14:textId="77777777" w:rsidR="00506216" w:rsidRDefault="00506216" w:rsidP="00FE6E1D">
            <w:pPr>
              <w:jc w:val="both"/>
              <w:rPr>
                <w:rFonts w:eastAsia="Times New Roman" w:cs="Arial"/>
                <w:sz w:val="24"/>
                <w:szCs w:val="24"/>
                <w:highlight w:val="yellow"/>
              </w:rPr>
            </w:pPr>
          </w:p>
          <w:p w14:paraId="5D106DE5" w14:textId="77777777" w:rsidR="0086173B" w:rsidRDefault="0086173B" w:rsidP="00FE6E1D">
            <w:pPr>
              <w:jc w:val="both"/>
              <w:rPr>
                <w:rFonts w:eastAsia="Times New Roman" w:cs="Arial"/>
                <w:sz w:val="24"/>
                <w:szCs w:val="24"/>
                <w:highlight w:val="yellow"/>
              </w:rPr>
            </w:pPr>
          </w:p>
          <w:p w14:paraId="4C8C75F2" w14:textId="31E298E6" w:rsidR="0086173B" w:rsidRPr="00301D4F" w:rsidRDefault="0086173B" w:rsidP="00FE6E1D">
            <w:pPr>
              <w:jc w:val="both"/>
              <w:rPr>
                <w:rFonts w:eastAsia="Times New Roman" w:cs="Arial"/>
                <w:sz w:val="24"/>
                <w:szCs w:val="24"/>
                <w:highlight w:val="yellow"/>
              </w:rPr>
            </w:pPr>
          </w:p>
        </w:tc>
      </w:tr>
      <w:tr w:rsidR="002F5D0A" w:rsidRPr="00301D4F" w14:paraId="15A5C844" w14:textId="77777777" w:rsidTr="00BF65A0">
        <w:trPr>
          <w:gridAfter w:val="1"/>
          <w:wAfter w:w="249" w:type="dxa"/>
        </w:trPr>
        <w:tc>
          <w:tcPr>
            <w:tcW w:w="885" w:type="dxa"/>
            <w:gridSpan w:val="2"/>
          </w:tcPr>
          <w:p w14:paraId="5BEA1B73" w14:textId="41D4798C" w:rsidR="002F5D0A" w:rsidRPr="00301D4F" w:rsidRDefault="002F5D0A" w:rsidP="001C3DCC">
            <w:pPr>
              <w:rPr>
                <w:rFonts w:eastAsia="Times New Roman" w:cs="Arial"/>
                <w:sz w:val="24"/>
                <w:szCs w:val="24"/>
                <w:highlight w:val="yellow"/>
              </w:rPr>
            </w:pPr>
            <w:bookmarkStart w:id="5" w:name="_Hlk122413639"/>
          </w:p>
        </w:tc>
        <w:tc>
          <w:tcPr>
            <w:tcW w:w="8931" w:type="dxa"/>
          </w:tcPr>
          <w:p w14:paraId="547F026D" w14:textId="77777777" w:rsidR="002F5D0A" w:rsidRPr="0086173B" w:rsidRDefault="002F5D0A" w:rsidP="00E95F61">
            <w:pPr>
              <w:spacing w:line="276" w:lineRule="auto"/>
              <w:jc w:val="right"/>
            </w:pPr>
            <w:r w:rsidRPr="0086173B">
              <w:rPr>
                <w:rFonts w:eastAsia="Times New Roman" w:cs="Arial"/>
                <w:b/>
                <w:sz w:val="24"/>
                <w:szCs w:val="24"/>
              </w:rPr>
              <w:t>Appendix 1</w:t>
            </w:r>
          </w:p>
          <w:p w14:paraId="3F2BFD6B" w14:textId="278CED69" w:rsidR="002F5D0A" w:rsidRPr="0086173B" w:rsidRDefault="002F5D0A" w:rsidP="001C3DCC">
            <w:pPr>
              <w:rPr>
                <w:rFonts w:eastAsia="Times New Roman" w:cs="Arial"/>
                <w:sz w:val="24"/>
                <w:szCs w:val="24"/>
              </w:rPr>
            </w:pPr>
            <w:r w:rsidRPr="0086173B">
              <w:rPr>
                <w:rFonts w:cs="Arial"/>
                <w:b/>
              </w:rPr>
              <w:t>Revenue Budget 2023/24 – Objective Summary</w:t>
            </w:r>
          </w:p>
        </w:tc>
      </w:tr>
      <w:tr w:rsidR="002F5D0A" w:rsidRPr="00301D4F" w14:paraId="1AB8E433" w14:textId="77777777" w:rsidTr="00BF65A0">
        <w:trPr>
          <w:gridAfter w:val="1"/>
          <w:wAfter w:w="249" w:type="dxa"/>
        </w:trPr>
        <w:tc>
          <w:tcPr>
            <w:tcW w:w="885" w:type="dxa"/>
            <w:gridSpan w:val="2"/>
          </w:tcPr>
          <w:p w14:paraId="6DF8283C" w14:textId="0F47C847" w:rsidR="002F5D0A" w:rsidRPr="00301D4F" w:rsidRDefault="002F5D0A" w:rsidP="001C3DCC">
            <w:pPr>
              <w:rPr>
                <w:rFonts w:eastAsia="Times New Roman" w:cs="Arial"/>
                <w:b/>
                <w:sz w:val="24"/>
                <w:szCs w:val="24"/>
                <w:highlight w:val="yellow"/>
              </w:rPr>
            </w:pPr>
          </w:p>
        </w:tc>
        <w:tc>
          <w:tcPr>
            <w:tcW w:w="8931" w:type="dxa"/>
          </w:tcPr>
          <w:p w14:paraId="02D157F5" w14:textId="77777777" w:rsidR="002F5D0A" w:rsidRDefault="002F5D0A" w:rsidP="009C66A9">
            <w:pPr>
              <w:jc w:val="both"/>
              <w:rPr>
                <w:rFonts w:eastAsia="Times New Roman" w:cs="Arial"/>
                <w:bCs/>
                <w:color w:val="000000" w:themeColor="text1"/>
                <w:sz w:val="24"/>
                <w:szCs w:val="24"/>
              </w:rPr>
            </w:pPr>
          </w:p>
          <w:p w14:paraId="1F38B386" w14:textId="1D7BB90C" w:rsidR="00652BDE" w:rsidRDefault="001E1989" w:rsidP="009C66A9">
            <w:pPr>
              <w:jc w:val="both"/>
              <w:rPr>
                <w:rFonts w:eastAsia="Times New Roman" w:cs="Arial"/>
                <w:bCs/>
                <w:color w:val="000000" w:themeColor="text1"/>
                <w:sz w:val="24"/>
                <w:szCs w:val="24"/>
              </w:rPr>
            </w:pPr>
            <w:r>
              <w:rPr>
                <w:rFonts w:eastAsia="Times New Roman" w:cs="Arial"/>
                <w:bCs/>
                <w:noProof/>
                <w:color w:val="000000" w:themeColor="text1"/>
                <w:sz w:val="24"/>
                <w:szCs w:val="24"/>
              </w:rPr>
              <w:lastRenderedPageBreak/>
              <w:drawing>
                <wp:inline distT="0" distB="0" distL="0" distR="0" wp14:anchorId="700FEAF2" wp14:editId="4C4167E5">
                  <wp:extent cx="5515551" cy="4218709"/>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9104" cy="4221427"/>
                          </a:xfrm>
                          <a:prstGeom prst="rect">
                            <a:avLst/>
                          </a:prstGeom>
                          <a:noFill/>
                        </pic:spPr>
                      </pic:pic>
                    </a:graphicData>
                  </a:graphic>
                </wp:inline>
              </w:drawing>
            </w:r>
          </w:p>
          <w:p w14:paraId="642C8360" w14:textId="6BF48900" w:rsidR="00652BDE" w:rsidRPr="0086173B" w:rsidRDefault="00652BDE" w:rsidP="009C66A9">
            <w:pPr>
              <w:jc w:val="both"/>
              <w:rPr>
                <w:rFonts w:eastAsia="Times New Roman" w:cs="Arial"/>
                <w:bCs/>
                <w:color w:val="000000" w:themeColor="text1"/>
                <w:sz w:val="24"/>
                <w:szCs w:val="24"/>
              </w:rPr>
            </w:pPr>
          </w:p>
        </w:tc>
      </w:tr>
      <w:tr w:rsidR="002F5D0A" w:rsidRPr="00301D4F" w14:paraId="1D530A52" w14:textId="77777777" w:rsidTr="00BF65A0">
        <w:trPr>
          <w:gridAfter w:val="1"/>
          <w:wAfter w:w="249" w:type="dxa"/>
        </w:trPr>
        <w:tc>
          <w:tcPr>
            <w:tcW w:w="885" w:type="dxa"/>
            <w:gridSpan w:val="2"/>
          </w:tcPr>
          <w:p w14:paraId="4790CF7A" w14:textId="0AB87D49" w:rsidR="002F5D0A" w:rsidRPr="00301D4F" w:rsidRDefault="002F5D0A" w:rsidP="001C3DCC">
            <w:pPr>
              <w:rPr>
                <w:rFonts w:eastAsia="Times New Roman" w:cs="Arial"/>
                <w:sz w:val="24"/>
                <w:szCs w:val="24"/>
                <w:highlight w:val="yellow"/>
              </w:rPr>
            </w:pPr>
          </w:p>
        </w:tc>
        <w:tc>
          <w:tcPr>
            <w:tcW w:w="8931" w:type="dxa"/>
          </w:tcPr>
          <w:p w14:paraId="1AF37205" w14:textId="5A54C8D3" w:rsidR="002F5D0A" w:rsidRPr="0086173B" w:rsidRDefault="002F5D0A" w:rsidP="00455E22">
            <w:pPr>
              <w:rPr>
                <w:rFonts w:eastAsia="Times New Roman" w:cs="Arial"/>
                <w:sz w:val="24"/>
                <w:szCs w:val="24"/>
              </w:rPr>
            </w:pPr>
          </w:p>
          <w:p w14:paraId="0869E58A" w14:textId="362A917C" w:rsidR="002F5D0A" w:rsidRPr="0086173B" w:rsidRDefault="002F5D0A" w:rsidP="00455E22">
            <w:pPr>
              <w:rPr>
                <w:rFonts w:eastAsia="Times New Roman" w:cs="Arial"/>
                <w:sz w:val="24"/>
                <w:szCs w:val="24"/>
              </w:rPr>
            </w:pPr>
          </w:p>
          <w:p w14:paraId="19744A4C" w14:textId="53239EE6" w:rsidR="002F5D0A" w:rsidRPr="0086173B" w:rsidRDefault="002F5D0A" w:rsidP="00340655">
            <w:pPr>
              <w:pStyle w:val="NormalWeb"/>
              <w:jc w:val="both"/>
              <w:rPr>
                <w:rFonts w:ascii="Arial" w:hAnsi="Arial" w:cs="Arial"/>
              </w:rPr>
            </w:pPr>
          </w:p>
        </w:tc>
      </w:tr>
      <w:tr w:rsidR="002F5D0A" w:rsidRPr="00301D4F" w14:paraId="58AB7E06" w14:textId="77777777" w:rsidTr="00BF65A0">
        <w:trPr>
          <w:gridAfter w:val="1"/>
          <w:wAfter w:w="249" w:type="dxa"/>
        </w:trPr>
        <w:tc>
          <w:tcPr>
            <w:tcW w:w="885" w:type="dxa"/>
            <w:gridSpan w:val="2"/>
          </w:tcPr>
          <w:p w14:paraId="7C26DA61" w14:textId="62AB0520" w:rsidR="002F5D0A" w:rsidRPr="00301D4F" w:rsidRDefault="002F5D0A" w:rsidP="001C3DCC">
            <w:pPr>
              <w:rPr>
                <w:rFonts w:eastAsia="Times New Roman" w:cs="Arial"/>
                <w:bCs/>
                <w:sz w:val="24"/>
                <w:szCs w:val="24"/>
                <w:highlight w:val="yellow"/>
              </w:rPr>
            </w:pPr>
          </w:p>
        </w:tc>
        <w:tc>
          <w:tcPr>
            <w:tcW w:w="8931" w:type="dxa"/>
          </w:tcPr>
          <w:p w14:paraId="7994B332" w14:textId="24ED4413" w:rsidR="002F5D0A" w:rsidRPr="00301D4F" w:rsidRDefault="002F5D0A" w:rsidP="005D0ACE">
            <w:pPr>
              <w:jc w:val="both"/>
              <w:rPr>
                <w:rFonts w:eastAsia="Times New Roman" w:cs="Arial"/>
                <w:bCs/>
                <w:color w:val="000000" w:themeColor="text1"/>
                <w:sz w:val="24"/>
                <w:szCs w:val="24"/>
                <w:highlight w:val="yellow"/>
              </w:rPr>
            </w:pPr>
          </w:p>
        </w:tc>
      </w:tr>
      <w:tr w:rsidR="002F5D0A" w:rsidRPr="00301D4F" w14:paraId="15CB4B24" w14:textId="77777777" w:rsidTr="00BF65A0">
        <w:trPr>
          <w:gridAfter w:val="1"/>
          <w:wAfter w:w="249" w:type="dxa"/>
        </w:trPr>
        <w:tc>
          <w:tcPr>
            <w:tcW w:w="885" w:type="dxa"/>
            <w:gridSpan w:val="2"/>
          </w:tcPr>
          <w:p w14:paraId="3A9A516A" w14:textId="56BB2D8E" w:rsidR="002F5D0A" w:rsidRPr="00301D4F" w:rsidRDefault="002F5D0A" w:rsidP="001C3DCC">
            <w:pPr>
              <w:rPr>
                <w:rFonts w:eastAsia="Times New Roman" w:cs="Arial"/>
                <w:bCs/>
                <w:sz w:val="24"/>
                <w:szCs w:val="24"/>
                <w:highlight w:val="yellow"/>
              </w:rPr>
            </w:pPr>
          </w:p>
        </w:tc>
        <w:tc>
          <w:tcPr>
            <w:tcW w:w="8931" w:type="dxa"/>
          </w:tcPr>
          <w:p w14:paraId="4D3217E3" w14:textId="1E23953B" w:rsidR="002F5D0A" w:rsidRPr="00301D4F" w:rsidRDefault="002F5D0A" w:rsidP="009C66A9">
            <w:pPr>
              <w:jc w:val="both"/>
              <w:rPr>
                <w:rFonts w:eastAsia="Times New Roman" w:cs="Arial"/>
                <w:b/>
                <w:color w:val="000000" w:themeColor="text1"/>
                <w:sz w:val="24"/>
                <w:szCs w:val="24"/>
                <w:highlight w:val="yellow"/>
                <w:u w:val="single"/>
              </w:rPr>
            </w:pPr>
          </w:p>
        </w:tc>
      </w:tr>
      <w:tr w:rsidR="002F5D0A" w:rsidRPr="00301D4F" w14:paraId="39025C1D" w14:textId="77777777" w:rsidTr="00BF65A0">
        <w:trPr>
          <w:gridAfter w:val="1"/>
          <w:wAfter w:w="249" w:type="dxa"/>
        </w:trPr>
        <w:tc>
          <w:tcPr>
            <w:tcW w:w="885" w:type="dxa"/>
            <w:gridSpan w:val="2"/>
          </w:tcPr>
          <w:p w14:paraId="75F41649" w14:textId="65CF9373" w:rsidR="002F5D0A" w:rsidRPr="00301D4F" w:rsidRDefault="002F5D0A" w:rsidP="001C3DCC">
            <w:pPr>
              <w:rPr>
                <w:rFonts w:eastAsia="Times New Roman" w:cs="Arial"/>
                <w:sz w:val="24"/>
                <w:szCs w:val="24"/>
                <w:highlight w:val="yellow"/>
              </w:rPr>
            </w:pPr>
          </w:p>
        </w:tc>
        <w:tc>
          <w:tcPr>
            <w:tcW w:w="8931" w:type="dxa"/>
          </w:tcPr>
          <w:p w14:paraId="3007DEFD" w14:textId="5458B1B6" w:rsidR="002F5D0A" w:rsidRPr="00301D4F" w:rsidRDefault="002F5D0A" w:rsidP="00F43733">
            <w:pPr>
              <w:jc w:val="both"/>
              <w:rPr>
                <w:sz w:val="24"/>
                <w:szCs w:val="24"/>
                <w:highlight w:val="yellow"/>
              </w:rPr>
            </w:pPr>
          </w:p>
        </w:tc>
      </w:tr>
      <w:bookmarkEnd w:id="5"/>
      <w:tr w:rsidR="002F5D0A" w:rsidRPr="00301D4F" w14:paraId="20DBFCD4" w14:textId="77777777" w:rsidTr="00BF65A0">
        <w:trPr>
          <w:gridAfter w:val="1"/>
          <w:wAfter w:w="249" w:type="dxa"/>
        </w:trPr>
        <w:tc>
          <w:tcPr>
            <w:tcW w:w="885" w:type="dxa"/>
            <w:gridSpan w:val="2"/>
          </w:tcPr>
          <w:p w14:paraId="14009CBE" w14:textId="592CEC5C" w:rsidR="002F5D0A" w:rsidRPr="00301D4F" w:rsidRDefault="002F5D0A" w:rsidP="001C3DCC">
            <w:pPr>
              <w:rPr>
                <w:rFonts w:eastAsia="Times New Roman" w:cs="Arial"/>
                <w:sz w:val="24"/>
                <w:szCs w:val="24"/>
                <w:highlight w:val="yellow"/>
              </w:rPr>
            </w:pPr>
          </w:p>
        </w:tc>
        <w:tc>
          <w:tcPr>
            <w:tcW w:w="8931" w:type="dxa"/>
          </w:tcPr>
          <w:p w14:paraId="7689D5CC" w14:textId="52C59D99" w:rsidR="002F5D0A" w:rsidRPr="00301D4F" w:rsidRDefault="002F5D0A" w:rsidP="001C3DCC">
            <w:pPr>
              <w:rPr>
                <w:rFonts w:eastAsia="Times New Roman" w:cs="Arial"/>
                <w:sz w:val="24"/>
                <w:szCs w:val="24"/>
                <w:highlight w:val="yellow"/>
              </w:rPr>
            </w:pPr>
          </w:p>
        </w:tc>
      </w:tr>
      <w:tr w:rsidR="002F5D0A" w:rsidRPr="00301D4F" w14:paraId="1AE819B3" w14:textId="77777777" w:rsidTr="00BF65A0">
        <w:trPr>
          <w:gridAfter w:val="1"/>
          <w:wAfter w:w="249" w:type="dxa"/>
        </w:trPr>
        <w:tc>
          <w:tcPr>
            <w:tcW w:w="885" w:type="dxa"/>
            <w:gridSpan w:val="2"/>
          </w:tcPr>
          <w:p w14:paraId="327F2576" w14:textId="53E25B29" w:rsidR="002F5D0A" w:rsidRPr="00301D4F" w:rsidRDefault="002F5D0A" w:rsidP="001C3DCC">
            <w:pPr>
              <w:rPr>
                <w:rFonts w:eastAsia="Times New Roman" w:cs="Arial"/>
                <w:sz w:val="24"/>
                <w:szCs w:val="24"/>
                <w:highlight w:val="yellow"/>
              </w:rPr>
            </w:pPr>
          </w:p>
        </w:tc>
        <w:tc>
          <w:tcPr>
            <w:tcW w:w="8931" w:type="dxa"/>
          </w:tcPr>
          <w:p w14:paraId="52CCEE8B" w14:textId="381297B3" w:rsidR="002F5D0A" w:rsidRPr="00301D4F" w:rsidRDefault="002F5D0A" w:rsidP="001C3DCC">
            <w:pPr>
              <w:rPr>
                <w:rFonts w:eastAsia="Times New Roman" w:cs="Arial"/>
                <w:sz w:val="24"/>
                <w:szCs w:val="24"/>
                <w:highlight w:val="yellow"/>
              </w:rPr>
            </w:pPr>
          </w:p>
        </w:tc>
      </w:tr>
      <w:tr w:rsidR="002F5D0A" w:rsidRPr="00301D4F" w14:paraId="5FA6A47C" w14:textId="77777777" w:rsidTr="00BF65A0">
        <w:trPr>
          <w:gridAfter w:val="1"/>
          <w:wAfter w:w="249" w:type="dxa"/>
        </w:trPr>
        <w:tc>
          <w:tcPr>
            <w:tcW w:w="885" w:type="dxa"/>
            <w:gridSpan w:val="2"/>
          </w:tcPr>
          <w:p w14:paraId="552E9B47" w14:textId="3C52712A" w:rsidR="002F5D0A" w:rsidRPr="00301D4F" w:rsidRDefault="002F5D0A" w:rsidP="001C3DCC">
            <w:pPr>
              <w:rPr>
                <w:rFonts w:eastAsia="Times New Roman" w:cs="Arial"/>
                <w:sz w:val="24"/>
                <w:szCs w:val="24"/>
                <w:highlight w:val="yellow"/>
              </w:rPr>
            </w:pPr>
            <w:bookmarkStart w:id="6" w:name="_Hlk122413739"/>
          </w:p>
        </w:tc>
        <w:tc>
          <w:tcPr>
            <w:tcW w:w="8931" w:type="dxa"/>
          </w:tcPr>
          <w:p w14:paraId="7807D5EC" w14:textId="540F05D7" w:rsidR="002F5D0A" w:rsidRPr="00301D4F" w:rsidRDefault="002F5D0A" w:rsidP="001C3DCC">
            <w:pPr>
              <w:rPr>
                <w:rFonts w:eastAsia="Times New Roman" w:cs="Arial"/>
                <w:sz w:val="24"/>
                <w:szCs w:val="24"/>
                <w:highlight w:val="yellow"/>
              </w:rPr>
            </w:pPr>
          </w:p>
        </w:tc>
      </w:tr>
      <w:tr w:rsidR="002F5D0A" w:rsidRPr="00301D4F" w14:paraId="1C55A904" w14:textId="77777777" w:rsidTr="00BF65A0">
        <w:trPr>
          <w:gridAfter w:val="1"/>
          <w:wAfter w:w="249" w:type="dxa"/>
        </w:trPr>
        <w:tc>
          <w:tcPr>
            <w:tcW w:w="885" w:type="dxa"/>
            <w:gridSpan w:val="2"/>
          </w:tcPr>
          <w:p w14:paraId="492DA52D" w14:textId="46D93612" w:rsidR="002F5D0A" w:rsidRPr="00301D4F" w:rsidRDefault="002F5D0A" w:rsidP="001C3DCC">
            <w:pPr>
              <w:rPr>
                <w:rFonts w:eastAsia="Times New Roman" w:cs="Arial"/>
                <w:sz w:val="24"/>
                <w:szCs w:val="24"/>
                <w:highlight w:val="yellow"/>
              </w:rPr>
            </w:pPr>
          </w:p>
        </w:tc>
        <w:tc>
          <w:tcPr>
            <w:tcW w:w="8931" w:type="dxa"/>
          </w:tcPr>
          <w:p w14:paraId="772688A9" w14:textId="5F5FE63D" w:rsidR="002F5D0A" w:rsidRPr="00301D4F" w:rsidRDefault="002F5D0A" w:rsidP="009C66A9">
            <w:pPr>
              <w:jc w:val="both"/>
              <w:rPr>
                <w:rFonts w:eastAsia="Times New Roman" w:cs="Arial"/>
                <w:sz w:val="24"/>
                <w:szCs w:val="24"/>
                <w:highlight w:val="yellow"/>
              </w:rPr>
            </w:pPr>
          </w:p>
        </w:tc>
      </w:tr>
      <w:tr w:rsidR="002F5D0A" w:rsidRPr="00301D4F" w14:paraId="69BCB27D" w14:textId="77777777" w:rsidTr="00BF65A0">
        <w:trPr>
          <w:gridAfter w:val="1"/>
          <w:wAfter w:w="249" w:type="dxa"/>
        </w:trPr>
        <w:tc>
          <w:tcPr>
            <w:tcW w:w="885" w:type="dxa"/>
            <w:gridSpan w:val="2"/>
          </w:tcPr>
          <w:p w14:paraId="17011CAA" w14:textId="05DFFE5D" w:rsidR="002F5D0A" w:rsidRPr="00301D4F" w:rsidRDefault="002F5D0A" w:rsidP="001C3DCC">
            <w:pPr>
              <w:rPr>
                <w:rFonts w:eastAsia="Times New Roman" w:cs="Arial"/>
                <w:sz w:val="24"/>
                <w:szCs w:val="24"/>
                <w:highlight w:val="yellow"/>
              </w:rPr>
            </w:pPr>
          </w:p>
        </w:tc>
        <w:tc>
          <w:tcPr>
            <w:tcW w:w="8931" w:type="dxa"/>
          </w:tcPr>
          <w:p w14:paraId="20B563A7" w14:textId="4FC816E4" w:rsidR="002F5D0A" w:rsidRPr="00301D4F" w:rsidRDefault="002F5D0A" w:rsidP="00197E47">
            <w:pPr>
              <w:pStyle w:val="NormalWeb"/>
              <w:jc w:val="both"/>
              <w:rPr>
                <w:rFonts w:eastAsia="Times New Roman" w:cs="Arial"/>
                <w:highlight w:val="yellow"/>
              </w:rPr>
            </w:pPr>
          </w:p>
        </w:tc>
      </w:tr>
      <w:tr w:rsidR="002F5D0A" w:rsidRPr="00301D4F" w14:paraId="4A1E3CF9" w14:textId="77777777" w:rsidTr="00BF65A0">
        <w:trPr>
          <w:gridAfter w:val="1"/>
          <w:wAfter w:w="249" w:type="dxa"/>
        </w:trPr>
        <w:tc>
          <w:tcPr>
            <w:tcW w:w="885" w:type="dxa"/>
            <w:gridSpan w:val="2"/>
          </w:tcPr>
          <w:p w14:paraId="071867CA" w14:textId="1889A701" w:rsidR="002F5D0A" w:rsidRPr="00301D4F" w:rsidRDefault="002F5D0A" w:rsidP="001C3DCC">
            <w:pPr>
              <w:rPr>
                <w:rFonts w:eastAsia="Times New Roman" w:cs="Arial"/>
                <w:sz w:val="24"/>
                <w:szCs w:val="24"/>
                <w:highlight w:val="yellow"/>
              </w:rPr>
            </w:pPr>
          </w:p>
        </w:tc>
        <w:tc>
          <w:tcPr>
            <w:tcW w:w="8931" w:type="dxa"/>
          </w:tcPr>
          <w:p w14:paraId="4E5265F5" w14:textId="774FE091" w:rsidR="002F5D0A" w:rsidRPr="00301D4F" w:rsidRDefault="002F5D0A" w:rsidP="00C71D59">
            <w:pPr>
              <w:jc w:val="both"/>
              <w:rPr>
                <w:rFonts w:eastAsia="Times New Roman" w:cs="Arial"/>
                <w:sz w:val="24"/>
                <w:szCs w:val="24"/>
                <w:highlight w:val="yellow"/>
              </w:rPr>
            </w:pPr>
          </w:p>
        </w:tc>
      </w:tr>
      <w:tr w:rsidR="002F5D0A" w:rsidRPr="00301D4F" w14:paraId="7ADCE7A3" w14:textId="77777777" w:rsidTr="00BF65A0">
        <w:trPr>
          <w:gridAfter w:val="1"/>
          <w:wAfter w:w="249" w:type="dxa"/>
        </w:trPr>
        <w:tc>
          <w:tcPr>
            <w:tcW w:w="885" w:type="dxa"/>
            <w:gridSpan w:val="2"/>
          </w:tcPr>
          <w:p w14:paraId="0515F58D" w14:textId="73D89CD0" w:rsidR="002F5D0A" w:rsidRPr="00301D4F" w:rsidRDefault="002F5D0A" w:rsidP="001C3DCC">
            <w:pPr>
              <w:rPr>
                <w:rFonts w:eastAsia="Times New Roman" w:cs="Arial"/>
                <w:sz w:val="24"/>
                <w:szCs w:val="24"/>
                <w:highlight w:val="yellow"/>
              </w:rPr>
            </w:pPr>
          </w:p>
        </w:tc>
        <w:tc>
          <w:tcPr>
            <w:tcW w:w="8931" w:type="dxa"/>
          </w:tcPr>
          <w:p w14:paraId="3679D493" w14:textId="108CDCFC" w:rsidR="002F5D0A" w:rsidRPr="00301D4F" w:rsidRDefault="002F5D0A" w:rsidP="001C3DCC">
            <w:pPr>
              <w:rPr>
                <w:rFonts w:eastAsia="Times New Roman" w:cs="Arial"/>
                <w:sz w:val="24"/>
                <w:szCs w:val="24"/>
                <w:highlight w:val="yellow"/>
              </w:rPr>
            </w:pPr>
          </w:p>
        </w:tc>
      </w:tr>
      <w:tr w:rsidR="002F5D0A" w:rsidRPr="00301D4F" w14:paraId="61B12794" w14:textId="77777777" w:rsidTr="00BF65A0">
        <w:trPr>
          <w:gridAfter w:val="1"/>
          <w:wAfter w:w="249" w:type="dxa"/>
        </w:trPr>
        <w:tc>
          <w:tcPr>
            <w:tcW w:w="885" w:type="dxa"/>
            <w:gridSpan w:val="2"/>
          </w:tcPr>
          <w:p w14:paraId="68A9CD71" w14:textId="5804D464" w:rsidR="002F5D0A" w:rsidRPr="00301D4F" w:rsidRDefault="002F5D0A" w:rsidP="001C3DCC">
            <w:pPr>
              <w:rPr>
                <w:rFonts w:eastAsia="Times New Roman" w:cs="Arial"/>
                <w:sz w:val="24"/>
                <w:szCs w:val="24"/>
                <w:highlight w:val="yellow"/>
              </w:rPr>
            </w:pPr>
          </w:p>
        </w:tc>
        <w:tc>
          <w:tcPr>
            <w:tcW w:w="8931" w:type="dxa"/>
          </w:tcPr>
          <w:p w14:paraId="553B5ED0" w14:textId="459E4539" w:rsidR="002F5D0A" w:rsidRPr="00301D4F" w:rsidRDefault="002F5D0A" w:rsidP="009C66A9">
            <w:pPr>
              <w:jc w:val="both"/>
              <w:rPr>
                <w:rFonts w:eastAsia="Times New Roman" w:cs="Arial"/>
                <w:sz w:val="24"/>
                <w:szCs w:val="24"/>
                <w:highlight w:val="yellow"/>
              </w:rPr>
            </w:pPr>
          </w:p>
        </w:tc>
      </w:tr>
      <w:tr w:rsidR="002F5D0A" w:rsidRPr="00301D4F" w14:paraId="26126721" w14:textId="77777777" w:rsidTr="00BF65A0">
        <w:trPr>
          <w:gridAfter w:val="1"/>
          <w:wAfter w:w="249" w:type="dxa"/>
        </w:trPr>
        <w:tc>
          <w:tcPr>
            <w:tcW w:w="885" w:type="dxa"/>
            <w:gridSpan w:val="2"/>
          </w:tcPr>
          <w:p w14:paraId="4BEEAD12" w14:textId="1698E6BE" w:rsidR="002F5D0A" w:rsidRPr="00301D4F" w:rsidRDefault="002F5D0A" w:rsidP="001C3DCC">
            <w:pPr>
              <w:rPr>
                <w:rFonts w:eastAsia="Times New Roman" w:cs="Arial"/>
                <w:sz w:val="24"/>
                <w:szCs w:val="24"/>
                <w:highlight w:val="yellow"/>
              </w:rPr>
            </w:pPr>
          </w:p>
        </w:tc>
        <w:tc>
          <w:tcPr>
            <w:tcW w:w="8931" w:type="dxa"/>
          </w:tcPr>
          <w:p w14:paraId="1E726827" w14:textId="55F8ABAC" w:rsidR="002F5D0A" w:rsidRPr="00301D4F" w:rsidRDefault="002F5D0A" w:rsidP="009C66A9">
            <w:pPr>
              <w:pStyle w:val="NormalWeb"/>
              <w:jc w:val="both"/>
              <w:rPr>
                <w:rFonts w:ascii="Arial" w:eastAsia="Times New Roman" w:hAnsi="Arial" w:cs="Arial"/>
                <w:sz w:val="22"/>
                <w:szCs w:val="22"/>
                <w:highlight w:val="yellow"/>
                <w:lang w:eastAsia="en-US"/>
              </w:rPr>
            </w:pPr>
          </w:p>
        </w:tc>
      </w:tr>
      <w:tr w:rsidR="002F5D0A" w:rsidRPr="00301D4F" w14:paraId="799E2CFF" w14:textId="77777777" w:rsidTr="00BF65A0">
        <w:trPr>
          <w:gridAfter w:val="1"/>
          <w:wAfter w:w="249" w:type="dxa"/>
        </w:trPr>
        <w:tc>
          <w:tcPr>
            <w:tcW w:w="885" w:type="dxa"/>
            <w:gridSpan w:val="2"/>
          </w:tcPr>
          <w:p w14:paraId="5BA9E3D9" w14:textId="19A4B0F6" w:rsidR="002F5D0A" w:rsidRPr="00301D4F" w:rsidRDefault="002F5D0A" w:rsidP="0092593E">
            <w:pPr>
              <w:rPr>
                <w:rFonts w:eastAsia="Times New Roman" w:cs="Arial"/>
                <w:sz w:val="24"/>
                <w:szCs w:val="24"/>
                <w:highlight w:val="yellow"/>
              </w:rPr>
            </w:pPr>
          </w:p>
        </w:tc>
        <w:tc>
          <w:tcPr>
            <w:tcW w:w="8931" w:type="dxa"/>
          </w:tcPr>
          <w:p w14:paraId="1F96DCB7" w14:textId="6AD61402" w:rsidR="002F5D0A" w:rsidRPr="00301D4F" w:rsidRDefault="002F5D0A" w:rsidP="0092593E">
            <w:pPr>
              <w:jc w:val="both"/>
              <w:rPr>
                <w:rFonts w:eastAsia="Times New Roman" w:cs="Arial"/>
                <w:sz w:val="24"/>
                <w:szCs w:val="24"/>
                <w:highlight w:val="yellow"/>
              </w:rPr>
            </w:pPr>
          </w:p>
        </w:tc>
      </w:tr>
      <w:tr w:rsidR="002F5D0A" w:rsidRPr="00301D4F" w14:paraId="00B4B0E3" w14:textId="77777777" w:rsidTr="00BF65A0">
        <w:trPr>
          <w:gridAfter w:val="1"/>
          <w:wAfter w:w="249" w:type="dxa"/>
        </w:trPr>
        <w:tc>
          <w:tcPr>
            <w:tcW w:w="885" w:type="dxa"/>
            <w:gridSpan w:val="2"/>
          </w:tcPr>
          <w:p w14:paraId="45E5207A" w14:textId="6272CADA" w:rsidR="002F5D0A" w:rsidRPr="00301D4F" w:rsidRDefault="002F5D0A" w:rsidP="0092593E">
            <w:pPr>
              <w:rPr>
                <w:rFonts w:eastAsia="Times New Roman" w:cs="Arial"/>
                <w:bCs/>
                <w:sz w:val="24"/>
                <w:szCs w:val="24"/>
                <w:highlight w:val="yellow"/>
              </w:rPr>
            </w:pPr>
          </w:p>
        </w:tc>
        <w:tc>
          <w:tcPr>
            <w:tcW w:w="8931" w:type="dxa"/>
          </w:tcPr>
          <w:p w14:paraId="021BD485" w14:textId="0AA3F7F1" w:rsidR="002F5D0A" w:rsidRPr="00301D4F" w:rsidRDefault="002F5D0A" w:rsidP="0092593E">
            <w:pPr>
              <w:jc w:val="both"/>
              <w:rPr>
                <w:rFonts w:eastAsia="Times New Roman" w:cs="Arial"/>
                <w:b/>
                <w:color w:val="000000" w:themeColor="text1"/>
                <w:sz w:val="24"/>
                <w:szCs w:val="24"/>
                <w:highlight w:val="yellow"/>
                <w:u w:val="single"/>
              </w:rPr>
            </w:pPr>
          </w:p>
        </w:tc>
      </w:tr>
      <w:tr w:rsidR="002F5D0A" w:rsidRPr="00301D4F" w14:paraId="5B9DC7E3" w14:textId="77777777" w:rsidTr="00BF65A0">
        <w:trPr>
          <w:gridAfter w:val="1"/>
          <w:wAfter w:w="249" w:type="dxa"/>
        </w:trPr>
        <w:tc>
          <w:tcPr>
            <w:tcW w:w="885" w:type="dxa"/>
            <w:gridSpan w:val="2"/>
          </w:tcPr>
          <w:p w14:paraId="0E17E184" w14:textId="68DCFF4F" w:rsidR="002F5D0A" w:rsidRPr="00301D4F" w:rsidRDefault="002F5D0A" w:rsidP="0092593E">
            <w:pPr>
              <w:rPr>
                <w:rFonts w:eastAsia="Times New Roman" w:cs="Arial"/>
                <w:bCs/>
                <w:sz w:val="24"/>
                <w:szCs w:val="24"/>
                <w:highlight w:val="yellow"/>
              </w:rPr>
            </w:pPr>
          </w:p>
        </w:tc>
        <w:tc>
          <w:tcPr>
            <w:tcW w:w="8931" w:type="dxa"/>
          </w:tcPr>
          <w:p w14:paraId="453349AA" w14:textId="0EBF0C96" w:rsidR="002F5D0A" w:rsidRPr="00301D4F" w:rsidRDefault="002F5D0A" w:rsidP="00455E22">
            <w:pPr>
              <w:jc w:val="both"/>
              <w:rPr>
                <w:rFonts w:eastAsia="Times New Roman" w:cs="Arial"/>
                <w:sz w:val="24"/>
                <w:szCs w:val="24"/>
                <w:highlight w:val="yellow"/>
              </w:rPr>
            </w:pPr>
          </w:p>
        </w:tc>
      </w:tr>
      <w:tr w:rsidR="002F5D0A" w:rsidRPr="00301D4F" w14:paraId="4E6AC534" w14:textId="77777777" w:rsidTr="00BF65A0">
        <w:trPr>
          <w:gridAfter w:val="1"/>
          <w:wAfter w:w="249" w:type="dxa"/>
        </w:trPr>
        <w:tc>
          <w:tcPr>
            <w:tcW w:w="885" w:type="dxa"/>
            <w:gridSpan w:val="2"/>
          </w:tcPr>
          <w:p w14:paraId="5D1FE3F2" w14:textId="77777777" w:rsidR="002F5D0A" w:rsidRPr="00301D4F" w:rsidRDefault="002F5D0A" w:rsidP="0092593E">
            <w:pPr>
              <w:rPr>
                <w:rFonts w:eastAsia="Times New Roman" w:cs="Arial"/>
                <w:bCs/>
                <w:sz w:val="24"/>
                <w:szCs w:val="24"/>
                <w:highlight w:val="yellow"/>
              </w:rPr>
            </w:pPr>
          </w:p>
        </w:tc>
        <w:tc>
          <w:tcPr>
            <w:tcW w:w="8931" w:type="dxa"/>
          </w:tcPr>
          <w:p w14:paraId="2B78A550" w14:textId="77777777" w:rsidR="002F5D0A" w:rsidRPr="00301D4F" w:rsidRDefault="002F5D0A" w:rsidP="00E95F61">
            <w:pPr>
              <w:spacing w:line="276" w:lineRule="auto"/>
              <w:jc w:val="right"/>
              <w:rPr>
                <w:rFonts w:eastAsia="Times New Roman" w:cs="Arial"/>
                <w:b/>
                <w:sz w:val="24"/>
                <w:szCs w:val="24"/>
                <w:highlight w:val="yellow"/>
              </w:rPr>
            </w:pPr>
          </w:p>
        </w:tc>
      </w:tr>
      <w:tr w:rsidR="002F5D0A" w:rsidRPr="00301D4F" w14:paraId="68FEB82D" w14:textId="77777777" w:rsidTr="00BF65A0">
        <w:trPr>
          <w:gridAfter w:val="1"/>
          <w:wAfter w:w="249" w:type="dxa"/>
        </w:trPr>
        <w:tc>
          <w:tcPr>
            <w:tcW w:w="885" w:type="dxa"/>
            <w:gridSpan w:val="2"/>
          </w:tcPr>
          <w:p w14:paraId="20D4D34E" w14:textId="77777777" w:rsidR="002F5D0A" w:rsidRPr="00301D4F" w:rsidRDefault="002F5D0A" w:rsidP="0092593E">
            <w:pPr>
              <w:rPr>
                <w:rFonts w:eastAsia="Times New Roman" w:cs="Arial"/>
                <w:bCs/>
                <w:sz w:val="24"/>
                <w:szCs w:val="24"/>
                <w:highlight w:val="yellow"/>
              </w:rPr>
            </w:pPr>
          </w:p>
        </w:tc>
        <w:tc>
          <w:tcPr>
            <w:tcW w:w="8931" w:type="dxa"/>
          </w:tcPr>
          <w:p w14:paraId="1FBB2171" w14:textId="61D0A228" w:rsidR="002F5D0A" w:rsidRPr="00301D4F" w:rsidRDefault="002F5D0A" w:rsidP="00E95F61">
            <w:pPr>
              <w:spacing w:line="276" w:lineRule="auto"/>
              <w:jc w:val="right"/>
              <w:rPr>
                <w:rFonts w:eastAsia="Times New Roman" w:cs="Arial"/>
                <w:b/>
                <w:sz w:val="24"/>
                <w:szCs w:val="24"/>
                <w:highlight w:val="yellow"/>
              </w:rPr>
            </w:pPr>
          </w:p>
        </w:tc>
      </w:tr>
      <w:bookmarkEnd w:id="6"/>
      <w:tr w:rsidR="002F5D0A" w:rsidRPr="00301D4F" w14:paraId="05571614" w14:textId="77777777" w:rsidTr="00BF65A0">
        <w:trPr>
          <w:gridAfter w:val="1"/>
          <w:wAfter w:w="249" w:type="dxa"/>
        </w:trPr>
        <w:tc>
          <w:tcPr>
            <w:tcW w:w="885" w:type="dxa"/>
            <w:gridSpan w:val="2"/>
          </w:tcPr>
          <w:p w14:paraId="134C7350" w14:textId="07F30AEB" w:rsidR="002F5D0A" w:rsidRPr="00301D4F" w:rsidRDefault="002F5D0A" w:rsidP="0092593E">
            <w:pPr>
              <w:rPr>
                <w:rFonts w:eastAsia="Times New Roman" w:cs="Arial"/>
                <w:bCs/>
                <w:sz w:val="24"/>
                <w:szCs w:val="24"/>
                <w:highlight w:val="yellow"/>
              </w:rPr>
            </w:pPr>
          </w:p>
        </w:tc>
        <w:tc>
          <w:tcPr>
            <w:tcW w:w="8931" w:type="dxa"/>
          </w:tcPr>
          <w:p w14:paraId="08BC9C5F" w14:textId="77777777" w:rsidR="002F5D0A" w:rsidRPr="00301D4F" w:rsidRDefault="002F5D0A" w:rsidP="00E95F61">
            <w:pPr>
              <w:ind w:left="7200"/>
              <w:rPr>
                <w:rFonts w:eastAsia="Times New Roman" w:cs="Arial"/>
                <w:b/>
                <w:sz w:val="24"/>
                <w:szCs w:val="24"/>
                <w:highlight w:val="yellow"/>
              </w:rPr>
            </w:pPr>
          </w:p>
          <w:p w14:paraId="46C7B085" w14:textId="77777777" w:rsidR="002F5D0A" w:rsidRPr="00301D4F" w:rsidRDefault="002F5D0A" w:rsidP="00E95F61">
            <w:pPr>
              <w:ind w:left="7200"/>
              <w:rPr>
                <w:rFonts w:eastAsia="Times New Roman" w:cs="Arial"/>
                <w:b/>
                <w:sz w:val="24"/>
                <w:szCs w:val="24"/>
                <w:highlight w:val="yellow"/>
              </w:rPr>
            </w:pPr>
          </w:p>
          <w:p w14:paraId="20D82590" w14:textId="516D9DAF" w:rsidR="002F5D0A" w:rsidRPr="000549A9" w:rsidRDefault="002F5D0A" w:rsidP="00E95F61">
            <w:pPr>
              <w:ind w:left="7200"/>
              <w:rPr>
                <w:rFonts w:eastAsia="Times New Roman" w:cs="Arial"/>
                <w:b/>
                <w:sz w:val="24"/>
                <w:szCs w:val="24"/>
              </w:rPr>
            </w:pPr>
            <w:r w:rsidRPr="000549A9">
              <w:rPr>
                <w:rFonts w:eastAsia="Times New Roman" w:cs="Arial"/>
                <w:b/>
                <w:sz w:val="24"/>
                <w:szCs w:val="24"/>
              </w:rPr>
              <w:t>Appendix 2</w:t>
            </w:r>
          </w:p>
          <w:p w14:paraId="1F25C72D" w14:textId="77777777" w:rsidR="002F5D0A" w:rsidRPr="000549A9" w:rsidRDefault="002F5D0A" w:rsidP="00E95F61">
            <w:pPr>
              <w:rPr>
                <w:b/>
              </w:rPr>
            </w:pPr>
            <w:r w:rsidRPr="000549A9">
              <w:rPr>
                <w:b/>
              </w:rPr>
              <w:t xml:space="preserve">Savings Programme 2023/24 </w:t>
            </w:r>
          </w:p>
          <w:p w14:paraId="0756D63A" w14:textId="77777777" w:rsidR="002F5D0A" w:rsidRPr="000549A9" w:rsidRDefault="002F5D0A" w:rsidP="00455E22">
            <w:pPr>
              <w:jc w:val="both"/>
              <w:rPr>
                <w:rFonts w:eastAsia="Times New Roman" w:cs="Arial"/>
                <w:b/>
                <w:sz w:val="24"/>
                <w:szCs w:val="24"/>
              </w:rPr>
            </w:pPr>
          </w:p>
          <w:p w14:paraId="76F08CD1" w14:textId="2965307C" w:rsidR="002F5D0A" w:rsidRPr="00301D4F" w:rsidRDefault="002F5D0A" w:rsidP="00455E22">
            <w:pPr>
              <w:jc w:val="both"/>
              <w:rPr>
                <w:rFonts w:eastAsia="Times New Roman" w:cs="Arial"/>
                <w:bCs/>
                <w:sz w:val="24"/>
                <w:szCs w:val="24"/>
                <w:highlight w:val="yellow"/>
              </w:rPr>
            </w:pPr>
            <w:r w:rsidRPr="000549A9">
              <w:rPr>
                <w:noProof/>
              </w:rPr>
              <w:drawing>
                <wp:inline distT="0" distB="0" distL="0" distR="0" wp14:anchorId="2A01CE7A" wp14:editId="225AF876">
                  <wp:extent cx="5731510" cy="4796155"/>
                  <wp:effectExtent l="0" t="0" r="254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796155"/>
                          </a:xfrm>
                          <a:prstGeom prst="rect">
                            <a:avLst/>
                          </a:prstGeom>
                          <a:noFill/>
                          <a:ln>
                            <a:noFill/>
                          </a:ln>
                        </pic:spPr>
                      </pic:pic>
                    </a:graphicData>
                  </a:graphic>
                </wp:inline>
              </w:drawing>
            </w:r>
          </w:p>
        </w:tc>
      </w:tr>
      <w:tr w:rsidR="002F5D0A" w:rsidRPr="00301D4F" w14:paraId="133FEC0B" w14:textId="77777777" w:rsidTr="00BF65A0">
        <w:trPr>
          <w:gridAfter w:val="1"/>
          <w:wAfter w:w="249" w:type="dxa"/>
        </w:trPr>
        <w:tc>
          <w:tcPr>
            <w:tcW w:w="885" w:type="dxa"/>
            <w:gridSpan w:val="2"/>
          </w:tcPr>
          <w:p w14:paraId="07AF4910" w14:textId="11F699F6" w:rsidR="002F5D0A" w:rsidRPr="00301D4F" w:rsidRDefault="002F5D0A" w:rsidP="0092593E">
            <w:pPr>
              <w:rPr>
                <w:rFonts w:eastAsia="Times New Roman" w:cs="Arial"/>
                <w:sz w:val="24"/>
                <w:szCs w:val="24"/>
                <w:highlight w:val="yellow"/>
              </w:rPr>
            </w:pPr>
          </w:p>
        </w:tc>
        <w:tc>
          <w:tcPr>
            <w:tcW w:w="8931" w:type="dxa"/>
          </w:tcPr>
          <w:p w14:paraId="6A928D34" w14:textId="16FA8E0D" w:rsidR="002F5D0A" w:rsidRPr="00301D4F" w:rsidRDefault="002F5D0A" w:rsidP="0092593E">
            <w:pPr>
              <w:rPr>
                <w:rFonts w:eastAsia="Times New Roman" w:cs="Arial"/>
                <w:sz w:val="24"/>
                <w:szCs w:val="24"/>
                <w:highlight w:val="yellow"/>
              </w:rPr>
            </w:pPr>
          </w:p>
        </w:tc>
      </w:tr>
      <w:tr w:rsidR="002F5D0A" w:rsidRPr="00301D4F" w14:paraId="1BAA7A03" w14:textId="77777777" w:rsidTr="00BF65A0">
        <w:trPr>
          <w:gridAfter w:val="1"/>
          <w:wAfter w:w="249" w:type="dxa"/>
        </w:trPr>
        <w:tc>
          <w:tcPr>
            <w:tcW w:w="885" w:type="dxa"/>
            <w:gridSpan w:val="2"/>
          </w:tcPr>
          <w:p w14:paraId="08D5C624" w14:textId="58143B1C" w:rsidR="002F5D0A" w:rsidRPr="00301D4F" w:rsidRDefault="002F5D0A" w:rsidP="0092593E">
            <w:pPr>
              <w:rPr>
                <w:rFonts w:eastAsia="Times New Roman" w:cs="Arial"/>
                <w:sz w:val="24"/>
                <w:szCs w:val="24"/>
                <w:highlight w:val="yellow"/>
              </w:rPr>
            </w:pPr>
          </w:p>
        </w:tc>
        <w:tc>
          <w:tcPr>
            <w:tcW w:w="8931" w:type="dxa"/>
          </w:tcPr>
          <w:p w14:paraId="0C1EFBB1" w14:textId="2CADAACA" w:rsidR="002F5D0A" w:rsidRPr="00301D4F" w:rsidRDefault="002F5D0A" w:rsidP="00455E22">
            <w:pPr>
              <w:jc w:val="both"/>
              <w:rPr>
                <w:rFonts w:eastAsia="Times New Roman" w:cs="Arial"/>
                <w:sz w:val="24"/>
                <w:szCs w:val="24"/>
                <w:highlight w:val="yellow"/>
              </w:rPr>
            </w:pPr>
          </w:p>
        </w:tc>
      </w:tr>
      <w:tr w:rsidR="002F5D0A" w:rsidRPr="00301D4F" w14:paraId="16B77EFC" w14:textId="77777777" w:rsidTr="00BF65A0">
        <w:trPr>
          <w:gridAfter w:val="1"/>
          <w:wAfter w:w="249" w:type="dxa"/>
        </w:trPr>
        <w:tc>
          <w:tcPr>
            <w:tcW w:w="885" w:type="dxa"/>
            <w:gridSpan w:val="2"/>
          </w:tcPr>
          <w:p w14:paraId="164F27E8" w14:textId="2B3354D9" w:rsidR="002F5D0A" w:rsidRPr="00301D4F" w:rsidRDefault="002F5D0A" w:rsidP="00455E22">
            <w:pPr>
              <w:rPr>
                <w:rFonts w:eastAsia="Times New Roman" w:cs="Arial"/>
                <w:sz w:val="24"/>
                <w:szCs w:val="24"/>
                <w:highlight w:val="yellow"/>
              </w:rPr>
            </w:pPr>
          </w:p>
        </w:tc>
        <w:tc>
          <w:tcPr>
            <w:tcW w:w="8931" w:type="dxa"/>
          </w:tcPr>
          <w:p w14:paraId="75BAB4D0" w14:textId="1B1442CF" w:rsidR="002F5D0A" w:rsidRPr="00301D4F" w:rsidRDefault="002F5D0A" w:rsidP="00455E22">
            <w:pPr>
              <w:rPr>
                <w:rFonts w:eastAsia="Times New Roman" w:cs="Arial"/>
                <w:sz w:val="24"/>
                <w:szCs w:val="24"/>
                <w:highlight w:val="yellow"/>
              </w:rPr>
            </w:pPr>
          </w:p>
        </w:tc>
      </w:tr>
      <w:tr w:rsidR="002F5D0A" w:rsidRPr="00301D4F" w14:paraId="6A2066E6" w14:textId="77777777" w:rsidTr="00BF65A0">
        <w:trPr>
          <w:gridAfter w:val="1"/>
          <w:wAfter w:w="249" w:type="dxa"/>
        </w:trPr>
        <w:tc>
          <w:tcPr>
            <w:tcW w:w="885" w:type="dxa"/>
            <w:gridSpan w:val="2"/>
          </w:tcPr>
          <w:p w14:paraId="188F40EC" w14:textId="02261793" w:rsidR="002F5D0A" w:rsidRPr="00301D4F" w:rsidRDefault="002F5D0A" w:rsidP="00455E22">
            <w:pPr>
              <w:rPr>
                <w:rFonts w:eastAsia="Times New Roman" w:cs="Arial"/>
                <w:sz w:val="24"/>
                <w:szCs w:val="24"/>
                <w:highlight w:val="yellow"/>
              </w:rPr>
            </w:pPr>
          </w:p>
        </w:tc>
        <w:tc>
          <w:tcPr>
            <w:tcW w:w="8931" w:type="dxa"/>
          </w:tcPr>
          <w:p w14:paraId="4ABA5A20" w14:textId="7047E408" w:rsidR="002F5D0A" w:rsidRPr="00301D4F" w:rsidRDefault="002F5D0A" w:rsidP="00455E22">
            <w:pPr>
              <w:rPr>
                <w:rFonts w:eastAsia="Times New Roman" w:cs="Arial"/>
                <w:sz w:val="24"/>
                <w:szCs w:val="24"/>
                <w:highlight w:val="yellow"/>
              </w:rPr>
            </w:pPr>
          </w:p>
        </w:tc>
      </w:tr>
      <w:tr w:rsidR="002F5D0A" w:rsidRPr="00301D4F" w14:paraId="4C1B7904" w14:textId="77777777" w:rsidTr="00BF65A0">
        <w:trPr>
          <w:gridAfter w:val="1"/>
          <w:wAfter w:w="249" w:type="dxa"/>
        </w:trPr>
        <w:tc>
          <w:tcPr>
            <w:tcW w:w="885" w:type="dxa"/>
            <w:gridSpan w:val="2"/>
          </w:tcPr>
          <w:p w14:paraId="4717A468" w14:textId="1838EC49" w:rsidR="002F5D0A" w:rsidRPr="00301D4F" w:rsidRDefault="002F5D0A" w:rsidP="00455E22">
            <w:pPr>
              <w:rPr>
                <w:rFonts w:eastAsia="Times New Roman" w:cs="Arial"/>
                <w:sz w:val="24"/>
                <w:szCs w:val="24"/>
                <w:highlight w:val="yellow"/>
              </w:rPr>
            </w:pPr>
          </w:p>
        </w:tc>
        <w:tc>
          <w:tcPr>
            <w:tcW w:w="8931" w:type="dxa"/>
          </w:tcPr>
          <w:p w14:paraId="710AF30F" w14:textId="0A76E42F" w:rsidR="002F5D0A" w:rsidRPr="00301D4F" w:rsidRDefault="002F5D0A" w:rsidP="00455E22">
            <w:pPr>
              <w:jc w:val="both"/>
              <w:rPr>
                <w:rFonts w:eastAsia="Times New Roman" w:cs="Arial"/>
                <w:b/>
                <w:sz w:val="24"/>
                <w:szCs w:val="24"/>
                <w:highlight w:val="yellow"/>
              </w:rPr>
            </w:pPr>
          </w:p>
        </w:tc>
      </w:tr>
      <w:tr w:rsidR="002F5D0A" w:rsidRPr="00301D4F" w14:paraId="13A8A408" w14:textId="77777777" w:rsidTr="00BF65A0">
        <w:trPr>
          <w:gridAfter w:val="1"/>
          <w:wAfter w:w="249" w:type="dxa"/>
        </w:trPr>
        <w:tc>
          <w:tcPr>
            <w:tcW w:w="885" w:type="dxa"/>
            <w:gridSpan w:val="2"/>
          </w:tcPr>
          <w:p w14:paraId="739AE337" w14:textId="5ACD6AA2" w:rsidR="002F5D0A" w:rsidRPr="00301D4F" w:rsidRDefault="002F5D0A" w:rsidP="00455E22">
            <w:pPr>
              <w:rPr>
                <w:rFonts w:eastAsia="Times New Roman" w:cs="Arial"/>
                <w:b/>
                <w:bCs/>
                <w:sz w:val="24"/>
                <w:szCs w:val="24"/>
                <w:highlight w:val="yellow"/>
              </w:rPr>
            </w:pPr>
          </w:p>
        </w:tc>
        <w:tc>
          <w:tcPr>
            <w:tcW w:w="8931" w:type="dxa"/>
          </w:tcPr>
          <w:p w14:paraId="180BB197" w14:textId="0FB82696" w:rsidR="002F5D0A" w:rsidRPr="00301D4F" w:rsidRDefault="002F5D0A" w:rsidP="00B32000">
            <w:pPr>
              <w:jc w:val="both"/>
              <w:rPr>
                <w:rFonts w:eastAsia="Times New Roman" w:cs="Arial"/>
                <w:b/>
                <w:sz w:val="24"/>
                <w:szCs w:val="24"/>
                <w:highlight w:val="yellow"/>
              </w:rPr>
            </w:pPr>
          </w:p>
        </w:tc>
      </w:tr>
      <w:tr w:rsidR="002F5D0A" w:rsidRPr="00301D4F" w14:paraId="1B5D74A7" w14:textId="77777777" w:rsidTr="00BF65A0">
        <w:trPr>
          <w:gridAfter w:val="1"/>
          <w:wAfter w:w="249" w:type="dxa"/>
        </w:trPr>
        <w:tc>
          <w:tcPr>
            <w:tcW w:w="885" w:type="dxa"/>
            <w:gridSpan w:val="2"/>
          </w:tcPr>
          <w:p w14:paraId="154298F6" w14:textId="1580B8F2" w:rsidR="002F5D0A" w:rsidRPr="00301D4F" w:rsidRDefault="002F5D0A" w:rsidP="00455E22">
            <w:pPr>
              <w:rPr>
                <w:rFonts w:eastAsia="Times New Roman" w:cs="Arial"/>
                <w:sz w:val="24"/>
                <w:szCs w:val="24"/>
                <w:highlight w:val="yellow"/>
              </w:rPr>
            </w:pPr>
          </w:p>
        </w:tc>
        <w:tc>
          <w:tcPr>
            <w:tcW w:w="8931" w:type="dxa"/>
          </w:tcPr>
          <w:p w14:paraId="36F2CADE" w14:textId="0DCCE401" w:rsidR="002F5D0A" w:rsidRPr="00301D4F" w:rsidRDefault="002F5D0A" w:rsidP="00455E22">
            <w:pPr>
              <w:jc w:val="both"/>
              <w:rPr>
                <w:rFonts w:eastAsia="Times New Roman" w:cs="Arial"/>
                <w:b/>
                <w:color w:val="000000" w:themeColor="text1"/>
                <w:sz w:val="24"/>
                <w:szCs w:val="24"/>
                <w:highlight w:val="yellow"/>
                <w:u w:val="single"/>
              </w:rPr>
            </w:pPr>
          </w:p>
        </w:tc>
      </w:tr>
      <w:tr w:rsidR="002F5D0A" w:rsidRPr="00301D4F" w14:paraId="7FA172C4" w14:textId="77777777" w:rsidTr="00BF65A0">
        <w:trPr>
          <w:gridAfter w:val="1"/>
          <w:wAfter w:w="249" w:type="dxa"/>
          <w:trHeight w:val="704"/>
        </w:trPr>
        <w:tc>
          <w:tcPr>
            <w:tcW w:w="885" w:type="dxa"/>
            <w:gridSpan w:val="2"/>
          </w:tcPr>
          <w:p w14:paraId="78186742" w14:textId="6F71755D" w:rsidR="002F5D0A" w:rsidRPr="00301D4F" w:rsidRDefault="002F5D0A" w:rsidP="00455E22">
            <w:pPr>
              <w:rPr>
                <w:rFonts w:eastAsia="Times New Roman" w:cs="Arial"/>
                <w:sz w:val="24"/>
                <w:szCs w:val="24"/>
                <w:highlight w:val="yellow"/>
              </w:rPr>
            </w:pPr>
          </w:p>
        </w:tc>
        <w:tc>
          <w:tcPr>
            <w:tcW w:w="8931" w:type="dxa"/>
          </w:tcPr>
          <w:p w14:paraId="5B3E49C8" w14:textId="2A9A05AE" w:rsidR="002F5D0A" w:rsidRPr="00301D4F" w:rsidRDefault="002F5D0A" w:rsidP="00455E22">
            <w:pPr>
              <w:rPr>
                <w:rFonts w:eastAsia="Times New Roman" w:cs="Arial"/>
                <w:sz w:val="24"/>
                <w:szCs w:val="24"/>
                <w:highlight w:val="yellow"/>
              </w:rPr>
            </w:pPr>
          </w:p>
        </w:tc>
      </w:tr>
      <w:tr w:rsidR="002F5D0A" w:rsidRPr="00301D4F" w14:paraId="67AE7D53" w14:textId="77777777" w:rsidTr="00BF65A0">
        <w:trPr>
          <w:gridAfter w:val="1"/>
          <w:wAfter w:w="249" w:type="dxa"/>
        </w:trPr>
        <w:tc>
          <w:tcPr>
            <w:tcW w:w="885" w:type="dxa"/>
            <w:gridSpan w:val="2"/>
          </w:tcPr>
          <w:p w14:paraId="7884B407" w14:textId="3936355E" w:rsidR="002F5D0A" w:rsidRPr="00301D4F" w:rsidRDefault="002F5D0A" w:rsidP="00455E22">
            <w:pPr>
              <w:rPr>
                <w:rFonts w:eastAsia="Times New Roman" w:cs="Arial"/>
                <w:sz w:val="24"/>
                <w:szCs w:val="24"/>
                <w:highlight w:val="yellow"/>
              </w:rPr>
            </w:pPr>
          </w:p>
        </w:tc>
        <w:tc>
          <w:tcPr>
            <w:tcW w:w="8931" w:type="dxa"/>
          </w:tcPr>
          <w:p w14:paraId="15FB606A" w14:textId="3CAD4CCE" w:rsidR="002F5D0A" w:rsidRPr="00301D4F" w:rsidRDefault="002F5D0A" w:rsidP="00455E22">
            <w:pPr>
              <w:rPr>
                <w:rFonts w:eastAsia="Times New Roman" w:cs="Arial"/>
                <w:sz w:val="24"/>
                <w:szCs w:val="24"/>
                <w:highlight w:val="yellow"/>
              </w:rPr>
            </w:pPr>
          </w:p>
        </w:tc>
      </w:tr>
      <w:tr w:rsidR="002F5D0A" w:rsidRPr="00301D4F" w14:paraId="35A01367" w14:textId="77777777" w:rsidTr="00BF65A0">
        <w:trPr>
          <w:gridAfter w:val="1"/>
          <w:wAfter w:w="249" w:type="dxa"/>
        </w:trPr>
        <w:tc>
          <w:tcPr>
            <w:tcW w:w="885" w:type="dxa"/>
            <w:gridSpan w:val="2"/>
          </w:tcPr>
          <w:p w14:paraId="37C2C13B" w14:textId="011DB801" w:rsidR="002F5D0A" w:rsidRPr="00301D4F" w:rsidRDefault="002F5D0A" w:rsidP="00455E22">
            <w:pPr>
              <w:rPr>
                <w:rFonts w:eastAsia="Times New Roman" w:cs="Arial"/>
                <w:sz w:val="24"/>
                <w:szCs w:val="24"/>
                <w:highlight w:val="yellow"/>
              </w:rPr>
            </w:pPr>
          </w:p>
        </w:tc>
        <w:tc>
          <w:tcPr>
            <w:tcW w:w="8931" w:type="dxa"/>
          </w:tcPr>
          <w:p w14:paraId="457BB373" w14:textId="2461A31B" w:rsidR="002F5D0A" w:rsidRPr="00301D4F" w:rsidRDefault="002F5D0A" w:rsidP="00E95F61">
            <w:pPr>
              <w:jc w:val="both"/>
              <w:rPr>
                <w:rFonts w:eastAsia="Times New Roman" w:cs="Arial"/>
                <w:sz w:val="24"/>
                <w:szCs w:val="24"/>
                <w:highlight w:val="yellow"/>
              </w:rPr>
            </w:pPr>
          </w:p>
        </w:tc>
      </w:tr>
      <w:tr w:rsidR="002F5D0A" w:rsidRPr="00301D4F" w14:paraId="73325CDC" w14:textId="77777777" w:rsidTr="00BF65A0">
        <w:trPr>
          <w:gridAfter w:val="1"/>
          <w:wAfter w:w="249" w:type="dxa"/>
        </w:trPr>
        <w:tc>
          <w:tcPr>
            <w:tcW w:w="885" w:type="dxa"/>
            <w:gridSpan w:val="2"/>
          </w:tcPr>
          <w:p w14:paraId="709D3DE2" w14:textId="6F7ABF71" w:rsidR="002F5D0A" w:rsidRPr="00301D4F" w:rsidRDefault="002F5D0A" w:rsidP="00455E22">
            <w:pPr>
              <w:rPr>
                <w:rFonts w:eastAsia="Times New Roman" w:cs="Arial"/>
                <w:sz w:val="24"/>
                <w:szCs w:val="24"/>
                <w:highlight w:val="yellow"/>
              </w:rPr>
            </w:pPr>
          </w:p>
        </w:tc>
        <w:tc>
          <w:tcPr>
            <w:tcW w:w="8931" w:type="dxa"/>
          </w:tcPr>
          <w:p w14:paraId="5B5BFE29" w14:textId="3BB0F15C" w:rsidR="002F5D0A" w:rsidRPr="00301D4F" w:rsidRDefault="002F5D0A" w:rsidP="00E95F61">
            <w:pPr>
              <w:jc w:val="both"/>
              <w:rPr>
                <w:rFonts w:eastAsia="Times New Roman" w:cs="Arial"/>
                <w:sz w:val="24"/>
                <w:szCs w:val="24"/>
                <w:highlight w:val="yellow"/>
              </w:rPr>
            </w:pPr>
          </w:p>
        </w:tc>
      </w:tr>
      <w:tr w:rsidR="002F5D0A" w:rsidRPr="00301D4F" w14:paraId="7AAD1D64" w14:textId="49732F44" w:rsidTr="00BF65A0">
        <w:trPr>
          <w:gridAfter w:val="1"/>
          <w:wAfter w:w="249" w:type="dxa"/>
        </w:trPr>
        <w:tc>
          <w:tcPr>
            <w:tcW w:w="885" w:type="dxa"/>
            <w:gridSpan w:val="2"/>
          </w:tcPr>
          <w:p w14:paraId="2C0AC98C" w14:textId="77777777" w:rsidR="002F5D0A" w:rsidRPr="00301D4F" w:rsidRDefault="002F5D0A" w:rsidP="00455E22">
            <w:pPr>
              <w:rPr>
                <w:rFonts w:eastAsia="Times New Roman" w:cs="Arial"/>
                <w:sz w:val="24"/>
                <w:szCs w:val="24"/>
                <w:highlight w:val="yellow"/>
              </w:rPr>
            </w:pPr>
          </w:p>
        </w:tc>
        <w:tc>
          <w:tcPr>
            <w:tcW w:w="8931" w:type="dxa"/>
          </w:tcPr>
          <w:p w14:paraId="62E93092" w14:textId="7533E34B" w:rsidR="002F5D0A" w:rsidRPr="00301D4F" w:rsidRDefault="002F5D0A">
            <w:pPr>
              <w:spacing w:line="276" w:lineRule="auto"/>
              <w:rPr>
                <w:highlight w:val="yellow"/>
              </w:rPr>
            </w:pPr>
          </w:p>
        </w:tc>
      </w:tr>
      <w:tr w:rsidR="002F5D0A" w:rsidRPr="00301D4F" w14:paraId="0FE784E7" w14:textId="36E2FAAA" w:rsidTr="00BF65A0">
        <w:trPr>
          <w:gridAfter w:val="1"/>
          <w:wAfter w:w="249" w:type="dxa"/>
        </w:trPr>
        <w:tc>
          <w:tcPr>
            <w:tcW w:w="885" w:type="dxa"/>
            <w:gridSpan w:val="2"/>
          </w:tcPr>
          <w:p w14:paraId="2B6D01B7" w14:textId="3FE246F8" w:rsidR="002F5D0A" w:rsidRPr="00301D4F" w:rsidRDefault="002F5D0A" w:rsidP="00455E22">
            <w:pPr>
              <w:rPr>
                <w:rFonts w:eastAsia="Times New Roman" w:cs="Arial"/>
                <w:sz w:val="24"/>
                <w:szCs w:val="24"/>
                <w:highlight w:val="yellow"/>
              </w:rPr>
            </w:pPr>
          </w:p>
        </w:tc>
        <w:tc>
          <w:tcPr>
            <w:tcW w:w="8931" w:type="dxa"/>
          </w:tcPr>
          <w:p w14:paraId="3CB70B26" w14:textId="7833DEDE" w:rsidR="002F5D0A" w:rsidRPr="00301D4F" w:rsidRDefault="002F5D0A">
            <w:pPr>
              <w:spacing w:line="276" w:lineRule="auto"/>
              <w:rPr>
                <w:highlight w:val="yellow"/>
              </w:rPr>
            </w:pPr>
          </w:p>
        </w:tc>
      </w:tr>
      <w:tr w:rsidR="002F5D0A" w:rsidRPr="00301D4F" w14:paraId="74B5FACF" w14:textId="77777777" w:rsidTr="00BF65A0">
        <w:trPr>
          <w:gridAfter w:val="1"/>
          <w:wAfter w:w="249" w:type="dxa"/>
        </w:trPr>
        <w:tc>
          <w:tcPr>
            <w:tcW w:w="885" w:type="dxa"/>
            <w:gridSpan w:val="2"/>
          </w:tcPr>
          <w:p w14:paraId="1DE2C45A" w14:textId="438244CD" w:rsidR="002F5D0A" w:rsidRPr="00301D4F" w:rsidRDefault="002F5D0A" w:rsidP="00455E22">
            <w:pPr>
              <w:rPr>
                <w:rFonts w:eastAsia="Times New Roman" w:cs="Arial"/>
                <w:sz w:val="24"/>
                <w:szCs w:val="24"/>
                <w:highlight w:val="yellow"/>
              </w:rPr>
            </w:pPr>
          </w:p>
        </w:tc>
        <w:tc>
          <w:tcPr>
            <w:tcW w:w="8931" w:type="dxa"/>
          </w:tcPr>
          <w:p w14:paraId="1F9365D2" w14:textId="4C61D8B0" w:rsidR="002F5D0A" w:rsidRPr="00301D4F" w:rsidRDefault="002F5D0A" w:rsidP="00E95F61">
            <w:pPr>
              <w:rPr>
                <w:rFonts w:eastAsia="Times New Roman" w:cs="Arial"/>
                <w:b/>
                <w:bCs/>
                <w:sz w:val="24"/>
                <w:szCs w:val="24"/>
                <w:highlight w:val="yellow"/>
              </w:rPr>
            </w:pPr>
          </w:p>
        </w:tc>
      </w:tr>
      <w:tr w:rsidR="002F5D0A" w:rsidRPr="00301D4F" w14:paraId="024C2C9D" w14:textId="77777777" w:rsidTr="00BF65A0">
        <w:trPr>
          <w:gridAfter w:val="1"/>
          <w:wAfter w:w="249" w:type="dxa"/>
        </w:trPr>
        <w:tc>
          <w:tcPr>
            <w:tcW w:w="885" w:type="dxa"/>
            <w:gridSpan w:val="2"/>
          </w:tcPr>
          <w:p w14:paraId="0463C905" w14:textId="1A943086" w:rsidR="002F5D0A" w:rsidRPr="00301D4F" w:rsidRDefault="002F5D0A" w:rsidP="00455E22">
            <w:pPr>
              <w:rPr>
                <w:rFonts w:eastAsia="Times New Roman" w:cs="Arial"/>
                <w:sz w:val="24"/>
                <w:szCs w:val="24"/>
                <w:highlight w:val="yellow"/>
              </w:rPr>
            </w:pPr>
          </w:p>
        </w:tc>
        <w:tc>
          <w:tcPr>
            <w:tcW w:w="8931" w:type="dxa"/>
          </w:tcPr>
          <w:p w14:paraId="03237500" w14:textId="3B09AD4A" w:rsidR="002F5D0A" w:rsidRPr="00301D4F" w:rsidRDefault="002F5D0A" w:rsidP="00455E22">
            <w:pPr>
              <w:rPr>
                <w:rFonts w:eastAsia="Times New Roman" w:cs="Arial"/>
                <w:sz w:val="24"/>
                <w:szCs w:val="24"/>
                <w:highlight w:val="yellow"/>
              </w:rPr>
            </w:pPr>
          </w:p>
        </w:tc>
      </w:tr>
      <w:tr w:rsidR="002F5D0A" w:rsidRPr="00301D4F" w14:paraId="0C5CF6FD" w14:textId="77777777" w:rsidTr="00BF65A0">
        <w:trPr>
          <w:gridAfter w:val="1"/>
          <w:wAfter w:w="249" w:type="dxa"/>
        </w:trPr>
        <w:tc>
          <w:tcPr>
            <w:tcW w:w="885" w:type="dxa"/>
            <w:gridSpan w:val="2"/>
          </w:tcPr>
          <w:p w14:paraId="3F582B93" w14:textId="5A7BE396" w:rsidR="002F5D0A" w:rsidRPr="00301D4F" w:rsidRDefault="002F5D0A" w:rsidP="00455E22">
            <w:pPr>
              <w:rPr>
                <w:rFonts w:eastAsia="Times New Roman" w:cs="Arial"/>
                <w:sz w:val="24"/>
                <w:szCs w:val="24"/>
                <w:highlight w:val="yellow"/>
              </w:rPr>
            </w:pPr>
          </w:p>
        </w:tc>
        <w:tc>
          <w:tcPr>
            <w:tcW w:w="8931" w:type="dxa"/>
          </w:tcPr>
          <w:p w14:paraId="348C7B25" w14:textId="0B3EF714" w:rsidR="002F5D0A" w:rsidRPr="00301D4F" w:rsidRDefault="002F5D0A" w:rsidP="00455E22">
            <w:pPr>
              <w:rPr>
                <w:rFonts w:eastAsia="Times New Roman" w:cs="Arial"/>
                <w:sz w:val="24"/>
                <w:szCs w:val="24"/>
                <w:highlight w:val="yellow"/>
              </w:rPr>
            </w:pPr>
          </w:p>
        </w:tc>
      </w:tr>
      <w:tr w:rsidR="002F5D0A" w:rsidRPr="00301D4F" w14:paraId="59A061B9" w14:textId="77777777" w:rsidTr="00BF65A0">
        <w:trPr>
          <w:gridAfter w:val="1"/>
          <w:wAfter w:w="249" w:type="dxa"/>
        </w:trPr>
        <w:tc>
          <w:tcPr>
            <w:tcW w:w="885" w:type="dxa"/>
            <w:gridSpan w:val="2"/>
          </w:tcPr>
          <w:p w14:paraId="657BF264" w14:textId="421657DA" w:rsidR="002F5D0A" w:rsidRPr="00301D4F" w:rsidRDefault="002F5D0A" w:rsidP="00455E22">
            <w:pPr>
              <w:rPr>
                <w:rFonts w:eastAsia="Times New Roman" w:cs="Arial"/>
                <w:sz w:val="24"/>
                <w:szCs w:val="24"/>
                <w:highlight w:val="yellow"/>
              </w:rPr>
            </w:pPr>
          </w:p>
        </w:tc>
        <w:tc>
          <w:tcPr>
            <w:tcW w:w="8931" w:type="dxa"/>
          </w:tcPr>
          <w:p w14:paraId="5F0EE627" w14:textId="1EE5766D" w:rsidR="002F5D0A" w:rsidRPr="00301D4F" w:rsidRDefault="002F5D0A" w:rsidP="00455E22">
            <w:pPr>
              <w:rPr>
                <w:rFonts w:eastAsia="Times New Roman" w:cs="Arial"/>
                <w:sz w:val="24"/>
                <w:szCs w:val="24"/>
                <w:highlight w:val="yellow"/>
              </w:rPr>
            </w:pPr>
          </w:p>
        </w:tc>
      </w:tr>
      <w:tr w:rsidR="002F5D0A" w:rsidRPr="00301D4F" w14:paraId="1418848A" w14:textId="77777777" w:rsidTr="00E50FF4">
        <w:tc>
          <w:tcPr>
            <w:tcW w:w="815" w:type="dxa"/>
          </w:tcPr>
          <w:p w14:paraId="26A69859" w14:textId="56D8EA27" w:rsidR="002F5D0A" w:rsidRPr="00301D4F" w:rsidRDefault="002F5D0A" w:rsidP="00455E22">
            <w:pPr>
              <w:rPr>
                <w:rFonts w:eastAsia="Times New Roman" w:cs="Arial"/>
                <w:sz w:val="24"/>
                <w:szCs w:val="24"/>
                <w:highlight w:val="yellow"/>
              </w:rPr>
            </w:pPr>
          </w:p>
        </w:tc>
        <w:tc>
          <w:tcPr>
            <w:tcW w:w="9250" w:type="dxa"/>
            <w:gridSpan w:val="3"/>
          </w:tcPr>
          <w:p w14:paraId="602F5D3B" w14:textId="1CD97003" w:rsidR="002F5D0A" w:rsidRPr="00301D4F" w:rsidRDefault="002F5D0A" w:rsidP="00E95F61">
            <w:pPr>
              <w:rPr>
                <w:rFonts w:eastAsia="Times New Roman" w:cs="Arial"/>
                <w:sz w:val="24"/>
                <w:szCs w:val="24"/>
                <w:highlight w:val="yellow"/>
              </w:rPr>
            </w:pPr>
          </w:p>
        </w:tc>
      </w:tr>
      <w:tr w:rsidR="002F5D0A" w:rsidRPr="00301D4F" w14:paraId="3208AE3E" w14:textId="77777777" w:rsidTr="00E50FF4">
        <w:tc>
          <w:tcPr>
            <w:tcW w:w="815" w:type="dxa"/>
          </w:tcPr>
          <w:p w14:paraId="69558D65" w14:textId="77777777" w:rsidR="002F5D0A" w:rsidRPr="00301D4F" w:rsidRDefault="002F5D0A" w:rsidP="00455E22">
            <w:pPr>
              <w:rPr>
                <w:rFonts w:eastAsia="Times New Roman" w:cs="Arial"/>
                <w:sz w:val="24"/>
                <w:szCs w:val="24"/>
                <w:highlight w:val="yellow"/>
              </w:rPr>
            </w:pPr>
          </w:p>
        </w:tc>
        <w:tc>
          <w:tcPr>
            <w:tcW w:w="9250" w:type="dxa"/>
            <w:gridSpan w:val="3"/>
          </w:tcPr>
          <w:p w14:paraId="121E5DFF" w14:textId="77777777" w:rsidR="002F5D0A" w:rsidRPr="00301D4F" w:rsidRDefault="002F5D0A" w:rsidP="00455E22">
            <w:pPr>
              <w:rPr>
                <w:rFonts w:eastAsia="Times New Roman" w:cs="Arial"/>
                <w:sz w:val="24"/>
                <w:szCs w:val="24"/>
                <w:highlight w:val="yellow"/>
              </w:rPr>
            </w:pPr>
          </w:p>
        </w:tc>
      </w:tr>
    </w:tbl>
    <w:p w14:paraId="250BA81A" w14:textId="2401F9ED" w:rsidR="00E95F61" w:rsidRPr="000549A9" w:rsidRDefault="00E95F61" w:rsidP="00E10621">
      <w:pPr>
        <w:spacing w:line="276" w:lineRule="auto"/>
        <w:jc w:val="right"/>
        <w:rPr>
          <w:rFonts w:eastAsia="Times New Roman" w:cs="Arial"/>
          <w:b/>
          <w:sz w:val="24"/>
          <w:szCs w:val="24"/>
        </w:rPr>
      </w:pPr>
      <w:r w:rsidRPr="00301D4F">
        <w:rPr>
          <w:highlight w:val="yellow"/>
        </w:rPr>
        <w:br w:type="page"/>
      </w:r>
      <w:r w:rsidR="00E10621" w:rsidRPr="000549A9">
        <w:rPr>
          <w:b/>
          <w:bCs/>
        </w:rPr>
        <w:lastRenderedPageBreak/>
        <w:t>A</w:t>
      </w:r>
      <w:r w:rsidRPr="000549A9">
        <w:rPr>
          <w:rFonts w:eastAsia="Times New Roman" w:cs="Arial"/>
          <w:b/>
          <w:sz w:val="24"/>
          <w:szCs w:val="24"/>
        </w:rPr>
        <w:t>ppendix 3</w:t>
      </w:r>
    </w:p>
    <w:p w14:paraId="3E129D6D" w14:textId="1AFB3789" w:rsidR="00E95F61" w:rsidRPr="000549A9" w:rsidRDefault="00E95F61" w:rsidP="00E95F61">
      <w:pPr>
        <w:rPr>
          <w:b/>
        </w:rPr>
      </w:pPr>
      <w:r w:rsidRPr="000549A9">
        <w:rPr>
          <w:b/>
        </w:rPr>
        <w:t>Grants and Spending Plans 202</w:t>
      </w:r>
      <w:r w:rsidR="00E15BBD" w:rsidRPr="000549A9">
        <w:rPr>
          <w:b/>
        </w:rPr>
        <w:t>3</w:t>
      </w:r>
      <w:r w:rsidRPr="000549A9">
        <w:rPr>
          <w:b/>
        </w:rPr>
        <w:t>/2</w:t>
      </w:r>
      <w:r w:rsidR="00E15BBD" w:rsidRPr="000549A9">
        <w:rPr>
          <w:b/>
        </w:rPr>
        <w:t>4</w:t>
      </w:r>
      <w:r w:rsidRPr="000549A9">
        <w:rPr>
          <w:b/>
        </w:rPr>
        <w:t xml:space="preserve"> </w:t>
      </w:r>
    </w:p>
    <w:p w14:paraId="46DE6AC4" w14:textId="77777777" w:rsidR="007C7DC6" w:rsidRPr="00301D4F" w:rsidRDefault="007C7DC6" w:rsidP="00E95F61">
      <w:pPr>
        <w:rPr>
          <w:b/>
          <w:highlight w:val="yellow"/>
        </w:rPr>
      </w:pPr>
    </w:p>
    <w:p w14:paraId="5083A5B8" w14:textId="2710C3C5" w:rsidR="00E95F61" w:rsidRPr="00301D4F" w:rsidRDefault="000549A9">
      <w:pPr>
        <w:spacing w:line="276" w:lineRule="auto"/>
        <w:rPr>
          <w:highlight w:val="yellow"/>
        </w:rPr>
      </w:pPr>
      <w:r w:rsidRPr="000549A9">
        <w:rPr>
          <w:noProof/>
        </w:rPr>
        <w:drawing>
          <wp:inline distT="0" distB="0" distL="0" distR="0" wp14:anchorId="1828802F" wp14:editId="4285EE38">
            <wp:extent cx="5730875" cy="1670685"/>
            <wp:effectExtent l="0" t="0" r="317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875" cy="1670685"/>
                    </a:xfrm>
                    <a:prstGeom prst="rect">
                      <a:avLst/>
                    </a:prstGeom>
                    <a:noFill/>
                  </pic:spPr>
                </pic:pic>
              </a:graphicData>
            </a:graphic>
          </wp:inline>
        </w:drawing>
      </w:r>
    </w:p>
    <w:p w14:paraId="78DB85DF" w14:textId="77777777" w:rsidR="007C7DC6" w:rsidRPr="00301D4F" w:rsidRDefault="007C7DC6">
      <w:pPr>
        <w:spacing w:line="276" w:lineRule="auto"/>
        <w:rPr>
          <w:highlight w:val="yellow"/>
        </w:rPr>
      </w:pPr>
    </w:p>
    <w:p w14:paraId="0E1B8A6B" w14:textId="77777777" w:rsidR="007C7DC6" w:rsidRPr="00301D4F" w:rsidRDefault="007C7DC6" w:rsidP="00573DBD">
      <w:pPr>
        <w:jc w:val="right"/>
        <w:rPr>
          <w:b/>
          <w:bCs/>
          <w:highlight w:val="yellow"/>
        </w:rPr>
      </w:pPr>
    </w:p>
    <w:p w14:paraId="19C54D8C" w14:textId="77777777" w:rsidR="007C7DC6" w:rsidRPr="00301D4F" w:rsidRDefault="007C7DC6" w:rsidP="00573DBD">
      <w:pPr>
        <w:jc w:val="right"/>
        <w:rPr>
          <w:b/>
          <w:bCs/>
          <w:highlight w:val="yellow"/>
        </w:rPr>
      </w:pPr>
    </w:p>
    <w:p w14:paraId="4F11BE3B" w14:textId="77777777" w:rsidR="007C7DC6" w:rsidRPr="00301D4F" w:rsidRDefault="007C7DC6" w:rsidP="00573DBD">
      <w:pPr>
        <w:jc w:val="right"/>
        <w:rPr>
          <w:b/>
          <w:bCs/>
          <w:highlight w:val="yellow"/>
        </w:rPr>
      </w:pPr>
    </w:p>
    <w:p w14:paraId="1DD9C2EB" w14:textId="77777777" w:rsidR="007C7DC6" w:rsidRPr="00301D4F" w:rsidRDefault="007C7DC6" w:rsidP="00573DBD">
      <w:pPr>
        <w:jc w:val="right"/>
        <w:rPr>
          <w:b/>
          <w:bCs/>
          <w:highlight w:val="yellow"/>
        </w:rPr>
      </w:pPr>
    </w:p>
    <w:p w14:paraId="0D0E4D48" w14:textId="77777777" w:rsidR="007C7DC6" w:rsidRPr="00301D4F" w:rsidRDefault="007C7DC6" w:rsidP="00573DBD">
      <w:pPr>
        <w:jc w:val="right"/>
        <w:rPr>
          <w:b/>
          <w:bCs/>
          <w:highlight w:val="yellow"/>
        </w:rPr>
      </w:pPr>
    </w:p>
    <w:p w14:paraId="2FA589AA" w14:textId="77777777" w:rsidR="007C7DC6" w:rsidRPr="00301D4F" w:rsidRDefault="007C7DC6" w:rsidP="00573DBD">
      <w:pPr>
        <w:jc w:val="right"/>
        <w:rPr>
          <w:b/>
          <w:bCs/>
          <w:highlight w:val="yellow"/>
        </w:rPr>
      </w:pPr>
    </w:p>
    <w:p w14:paraId="7DDE7E7E" w14:textId="77777777" w:rsidR="007C7DC6" w:rsidRPr="00301D4F" w:rsidRDefault="007C7DC6" w:rsidP="00573DBD">
      <w:pPr>
        <w:jc w:val="right"/>
        <w:rPr>
          <w:b/>
          <w:bCs/>
          <w:highlight w:val="yellow"/>
        </w:rPr>
      </w:pPr>
    </w:p>
    <w:p w14:paraId="49EF730D" w14:textId="77777777" w:rsidR="007C7DC6" w:rsidRPr="00301D4F" w:rsidRDefault="007C7DC6" w:rsidP="00573DBD">
      <w:pPr>
        <w:jc w:val="right"/>
        <w:rPr>
          <w:b/>
          <w:bCs/>
          <w:highlight w:val="yellow"/>
        </w:rPr>
      </w:pPr>
    </w:p>
    <w:p w14:paraId="42347E2F" w14:textId="77777777" w:rsidR="007C7DC6" w:rsidRPr="00301D4F" w:rsidRDefault="007C7DC6" w:rsidP="00573DBD">
      <w:pPr>
        <w:jc w:val="right"/>
        <w:rPr>
          <w:b/>
          <w:bCs/>
          <w:highlight w:val="yellow"/>
        </w:rPr>
      </w:pPr>
    </w:p>
    <w:p w14:paraId="25140973" w14:textId="77777777" w:rsidR="007C7DC6" w:rsidRPr="00301D4F" w:rsidRDefault="007C7DC6" w:rsidP="00573DBD">
      <w:pPr>
        <w:jc w:val="right"/>
        <w:rPr>
          <w:b/>
          <w:bCs/>
          <w:highlight w:val="yellow"/>
        </w:rPr>
      </w:pPr>
    </w:p>
    <w:p w14:paraId="08514AF0" w14:textId="77777777" w:rsidR="007C7DC6" w:rsidRPr="00301D4F" w:rsidRDefault="007C7DC6" w:rsidP="00573DBD">
      <w:pPr>
        <w:jc w:val="right"/>
        <w:rPr>
          <w:b/>
          <w:bCs/>
          <w:highlight w:val="yellow"/>
        </w:rPr>
      </w:pPr>
    </w:p>
    <w:p w14:paraId="793CC821" w14:textId="77777777" w:rsidR="007C7DC6" w:rsidRPr="00301D4F" w:rsidRDefault="007C7DC6" w:rsidP="00573DBD">
      <w:pPr>
        <w:jc w:val="right"/>
        <w:rPr>
          <w:b/>
          <w:bCs/>
          <w:highlight w:val="yellow"/>
        </w:rPr>
      </w:pPr>
    </w:p>
    <w:p w14:paraId="62DA9C10" w14:textId="77777777" w:rsidR="007C7DC6" w:rsidRPr="00301D4F" w:rsidRDefault="007C7DC6" w:rsidP="00573DBD">
      <w:pPr>
        <w:jc w:val="right"/>
        <w:rPr>
          <w:b/>
          <w:bCs/>
          <w:highlight w:val="yellow"/>
        </w:rPr>
      </w:pPr>
    </w:p>
    <w:p w14:paraId="1D4CAFA4" w14:textId="77777777" w:rsidR="007C7DC6" w:rsidRPr="00301D4F" w:rsidRDefault="007C7DC6" w:rsidP="00573DBD">
      <w:pPr>
        <w:jc w:val="right"/>
        <w:rPr>
          <w:b/>
          <w:bCs/>
          <w:highlight w:val="yellow"/>
        </w:rPr>
      </w:pPr>
    </w:p>
    <w:p w14:paraId="2F9D5BFC" w14:textId="77777777" w:rsidR="007C7DC6" w:rsidRPr="00301D4F" w:rsidRDefault="007C7DC6" w:rsidP="00573DBD">
      <w:pPr>
        <w:jc w:val="right"/>
        <w:rPr>
          <w:b/>
          <w:bCs/>
          <w:highlight w:val="yellow"/>
        </w:rPr>
      </w:pPr>
    </w:p>
    <w:p w14:paraId="6FC24F16" w14:textId="77777777" w:rsidR="007C7DC6" w:rsidRPr="00301D4F" w:rsidRDefault="007C7DC6" w:rsidP="00573DBD">
      <w:pPr>
        <w:jc w:val="right"/>
        <w:rPr>
          <w:b/>
          <w:bCs/>
          <w:highlight w:val="yellow"/>
        </w:rPr>
      </w:pPr>
    </w:p>
    <w:p w14:paraId="00A3AD7C" w14:textId="77777777" w:rsidR="007C7DC6" w:rsidRPr="00301D4F" w:rsidRDefault="007C7DC6" w:rsidP="00573DBD">
      <w:pPr>
        <w:jc w:val="right"/>
        <w:rPr>
          <w:b/>
          <w:bCs/>
          <w:highlight w:val="yellow"/>
        </w:rPr>
      </w:pPr>
    </w:p>
    <w:p w14:paraId="0272D9FD" w14:textId="77777777" w:rsidR="007C7DC6" w:rsidRPr="00301D4F" w:rsidRDefault="007C7DC6" w:rsidP="00573DBD">
      <w:pPr>
        <w:jc w:val="right"/>
        <w:rPr>
          <w:b/>
          <w:bCs/>
          <w:highlight w:val="yellow"/>
        </w:rPr>
      </w:pPr>
    </w:p>
    <w:p w14:paraId="1DADFBE3" w14:textId="77777777" w:rsidR="007C7DC6" w:rsidRPr="00301D4F" w:rsidRDefault="007C7DC6" w:rsidP="00573DBD">
      <w:pPr>
        <w:jc w:val="right"/>
        <w:rPr>
          <w:b/>
          <w:bCs/>
          <w:highlight w:val="yellow"/>
        </w:rPr>
      </w:pPr>
    </w:p>
    <w:p w14:paraId="7100DCE0" w14:textId="77777777" w:rsidR="007C7DC6" w:rsidRPr="00301D4F" w:rsidRDefault="007C7DC6" w:rsidP="00573DBD">
      <w:pPr>
        <w:jc w:val="right"/>
        <w:rPr>
          <w:b/>
          <w:bCs/>
          <w:highlight w:val="yellow"/>
        </w:rPr>
      </w:pPr>
    </w:p>
    <w:p w14:paraId="6547A187" w14:textId="77777777" w:rsidR="007C7DC6" w:rsidRPr="00301D4F" w:rsidRDefault="007C7DC6" w:rsidP="00573DBD">
      <w:pPr>
        <w:jc w:val="right"/>
        <w:rPr>
          <w:b/>
          <w:bCs/>
          <w:highlight w:val="yellow"/>
        </w:rPr>
      </w:pPr>
    </w:p>
    <w:p w14:paraId="6764A454" w14:textId="77777777" w:rsidR="007C7DC6" w:rsidRPr="00301D4F" w:rsidRDefault="007C7DC6" w:rsidP="00573DBD">
      <w:pPr>
        <w:jc w:val="right"/>
        <w:rPr>
          <w:b/>
          <w:bCs/>
          <w:highlight w:val="yellow"/>
        </w:rPr>
      </w:pPr>
    </w:p>
    <w:p w14:paraId="1501DB57" w14:textId="77777777" w:rsidR="007C7DC6" w:rsidRPr="00301D4F" w:rsidRDefault="007C7DC6" w:rsidP="00573DBD">
      <w:pPr>
        <w:jc w:val="right"/>
        <w:rPr>
          <w:b/>
          <w:bCs/>
          <w:highlight w:val="yellow"/>
        </w:rPr>
      </w:pPr>
    </w:p>
    <w:p w14:paraId="093C608D" w14:textId="77777777" w:rsidR="007C7DC6" w:rsidRPr="00301D4F" w:rsidRDefault="007C7DC6" w:rsidP="00573DBD">
      <w:pPr>
        <w:jc w:val="right"/>
        <w:rPr>
          <w:b/>
          <w:bCs/>
          <w:highlight w:val="yellow"/>
        </w:rPr>
      </w:pPr>
    </w:p>
    <w:p w14:paraId="718FA467" w14:textId="77777777" w:rsidR="007C7DC6" w:rsidRPr="00301D4F" w:rsidRDefault="007C7DC6" w:rsidP="00573DBD">
      <w:pPr>
        <w:jc w:val="right"/>
        <w:rPr>
          <w:b/>
          <w:bCs/>
          <w:highlight w:val="yellow"/>
        </w:rPr>
      </w:pPr>
    </w:p>
    <w:p w14:paraId="3D0890F1" w14:textId="77777777" w:rsidR="007C7DC6" w:rsidRPr="00301D4F" w:rsidRDefault="007C7DC6" w:rsidP="00573DBD">
      <w:pPr>
        <w:jc w:val="right"/>
        <w:rPr>
          <w:b/>
          <w:bCs/>
          <w:highlight w:val="yellow"/>
        </w:rPr>
      </w:pPr>
    </w:p>
    <w:p w14:paraId="6F6A6F8E" w14:textId="77777777" w:rsidR="007C7DC6" w:rsidRPr="00301D4F" w:rsidRDefault="007C7DC6" w:rsidP="00573DBD">
      <w:pPr>
        <w:jc w:val="right"/>
        <w:rPr>
          <w:b/>
          <w:bCs/>
          <w:highlight w:val="yellow"/>
        </w:rPr>
      </w:pPr>
    </w:p>
    <w:p w14:paraId="6D849F81" w14:textId="77777777" w:rsidR="007C7DC6" w:rsidRPr="00301D4F" w:rsidRDefault="007C7DC6" w:rsidP="00573DBD">
      <w:pPr>
        <w:jc w:val="right"/>
        <w:rPr>
          <w:b/>
          <w:bCs/>
          <w:highlight w:val="yellow"/>
        </w:rPr>
      </w:pPr>
    </w:p>
    <w:p w14:paraId="45E264AF" w14:textId="77777777" w:rsidR="007C7DC6" w:rsidRPr="00301D4F" w:rsidRDefault="007C7DC6" w:rsidP="00573DBD">
      <w:pPr>
        <w:jc w:val="right"/>
        <w:rPr>
          <w:b/>
          <w:bCs/>
          <w:highlight w:val="yellow"/>
        </w:rPr>
      </w:pPr>
    </w:p>
    <w:p w14:paraId="6475B683" w14:textId="77777777" w:rsidR="007C7DC6" w:rsidRPr="00301D4F" w:rsidRDefault="007C7DC6" w:rsidP="00573DBD">
      <w:pPr>
        <w:jc w:val="right"/>
        <w:rPr>
          <w:b/>
          <w:bCs/>
          <w:highlight w:val="yellow"/>
        </w:rPr>
      </w:pPr>
    </w:p>
    <w:p w14:paraId="5E820E41" w14:textId="77777777" w:rsidR="007C7DC6" w:rsidRPr="00301D4F" w:rsidRDefault="007C7DC6" w:rsidP="00573DBD">
      <w:pPr>
        <w:jc w:val="right"/>
        <w:rPr>
          <w:b/>
          <w:bCs/>
          <w:highlight w:val="yellow"/>
        </w:rPr>
      </w:pPr>
    </w:p>
    <w:p w14:paraId="79F60CDE" w14:textId="77777777" w:rsidR="007C7DC6" w:rsidRPr="00301D4F" w:rsidRDefault="007C7DC6" w:rsidP="00573DBD">
      <w:pPr>
        <w:jc w:val="right"/>
        <w:rPr>
          <w:b/>
          <w:bCs/>
          <w:highlight w:val="yellow"/>
        </w:rPr>
      </w:pPr>
    </w:p>
    <w:p w14:paraId="32FDA0F3" w14:textId="77777777" w:rsidR="007C7DC6" w:rsidRPr="00301D4F" w:rsidRDefault="007C7DC6" w:rsidP="00573DBD">
      <w:pPr>
        <w:jc w:val="right"/>
        <w:rPr>
          <w:b/>
          <w:bCs/>
          <w:highlight w:val="yellow"/>
        </w:rPr>
      </w:pPr>
    </w:p>
    <w:p w14:paraId="74182727" w14:textId="77777777" w:rsidR="007C7DC6" w:rsidRPr="00301D4F" w:rsidRDefault="007C7DC6" w:rsidP="00573DBD">
      <w:pPr>
        <w:jc w:val="right"/>
        <w:rPr>
          <w:b/>
          <w:bCs/>
          <w:highlight w:val="yellow"/>
        </w:rPr>
      </w:pPr>
    </w:p>
    <w:p w14:paraId="528E5C34" w14:textId="77777777" w:rsidR="007C7DC6" w:rsidRPr="00301D4F" w:rsidRDefault="007C7DC6" w:rsidP="00573DBD">
      <w:pPr>
        <w:jc w:val="right"/>
        <w:rPr>
          <w:b/>
          <w:bCs/>
          <w:highlight w:val="yellow"/>
        </w:rPr>
      </w:pPr>
    </w:p>
    <w:p w14:paraId="156FDC8B" w14:textId="77777777" w:rsidR="007C7DC6" w:rsidRPr="00301D4F" w:rsidRDefault="007C7DC6" w:rsidP="00573DBD">
      <w:pPr>
        <w:jc w:val="right"/>
        <w:rPr>
          <w:b/>
          <w:bCs/>
          <w:highlight w:val="yellow"/>
        </w:rPr>
      </w:pPr>
    </w:p>
    <w:p w14:paraId="7FE8FAC5" w14:textId="77777777" w:rsidR="007C7DC6" w:rsidRPr="00301D4F" w:rsidRDefault="007C7DC6" w:rsidP="00573DBD">
      <w:pPr>
        <w:jc w:val="right"/>
        <w:rPr>
          <w:b/>
          <w:bCs/>
          <w:highlight w:val="yellow"/>
        </w:rPr>
      </w:pPr>
    </w:p>
    <w:p w14:paraId="3E3AADEB" w14:textId="77777777" w:rsidR="007C7DC6" w:rsidRPr="00301D4F" w:rsidRDefault="007C7DC6" w:rsidP="00573DBD">
      <w:pPr>
        <w:jc w:val="right"/>
        <w:rPr>
          <w:b/>
          <w:bCs/>
          <w:highlight w:val="yellow"/>
        </w:rPr>
      </w:pPr>
    </w:p>
    <w:p w14:paraId="5C15EB3B" w14:textId="77777777" w:rsidR="007C7DC6" w:rsidRPr="00301D4F" w:rsidRDefault="007C7DC6" w:rsidP="00573DBD">
      <w:pPr>
        <w:jc w:val="right"/>
        <w:rPr>
          <w:b/>
          <w:bCs/>
          <w:highlight w:val="yellow"/>
        </w:rPr>
      </w:pPr>
    </w:p>
    <w:p w14:paraId="6AEF2B26" w14:textId="77777777" w:rsidR="00AD741D" w:rsidRPr="00301D4F" w:rsidRDefault="00AD741D" w:rsidP="00573DBD">
      <w:pPr>
        <w:jc w:val="right"/>
        <w:rPr>
          <w:b/>
          <w:bCs/>
          <w:highlight w:val="yellow"/>
        </w:rPr>
      </w:pPr>
    </w:p>
    <w:p w14:paraId="3436F110" w14:textId="6F2B4B28" w:rsidR="006A018A" w:rsidRPr="00D2402B" w:rsidRDefault="006A018A" w:rsidP="00573DBD">
      <w:pPr>
        <w:jc w:val="right"/>
        <w:rPr>
          <w:b/>
          <w:bCs/>
        </w:rPr>
      </w:pPr>
      <w:r w:rsidRPr="00D2402B">
        <w:rPr>
          <w:b/>
          <w:bCs/>
        </w:rPr>
        <w:lastRenderedPageBreak/>
        <w:t>Appendix 4</w:t>
      </w:r>
    </w:p>
    <w:p w14:paraId="4619E94B" w14:textId="06FCCB2C" w:rsidR="006A018A" w:rsidRPr="00D2402B" w:rsidRDefault="006A018A" w:rsidP="006A018A">
      <w:pPr>
        <w:rPr>
          <w:rFonts w:eastAsia="Times New Roman" w:cs="Arial"/>
          <w:b/>
          <w:bCs/>
        </w:rPr>
      </w:pPr>
      <w:r w:rsidRPr="00D2402B">
        <w:rPr>
          <w:rFonts w:eastAsia="Times New Roman" w:cs="Arial"/>
          <w:b/>
          <w:bCs/>
        </w:rPr>
        <w:t>Capital Programme 2023/24 to 2027/28</w:t>
      </w:r>
    </w:p>
    <w:p w14:paraId="0D41ECA5" w14:textId="77777777" w:rsidR="006A018A" w:rsidRDefault="006A018A" w:rsidP="006A018A">
      <w:pPr>
        <w:rPr>
          <w:rFonts w:eastAsia="Times New Roman" w:cs="Arial"/>
          <w:sz w:val="24"/>
          <w:szCs w:val="24"/>
        </w:rPr>
      </w:pPr>
    </w:p>
    <w:p w14:paraId="3550FB6D" w14:textId="19A75067" w:rsidR="00523457" w:rsidRDefault="00523457" w:rsidP="006A018A">
      <w:pPr>
        <w:rPr>
          <w:rFonts w:eastAsia="Times New Roman" w:cs="Arial"/>
          <w:sz w:val="24"/>
          <w:szCs w:val="24"/>
        </w:rPr>
      </w:pPr>
      <w:r w:rsidRPr="00523457">
        <w:rPr>
          <w:noProof/>
        </w:rPr>
        <w:drawing>
          <wp:inline distT="0" distB="0" distL="0" distR="0" wp14:anchorId="3201AAF3" wp14:editId="7506859F">
            <wp:extent cx="5731510" cy="78638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863840"/>
                    </a:xfrm>
                    <a:prstGeom prst="rect">
                      <a:avLst/>
                    </a:prstGeom>
                    <a:noFill/>
                    <a:ln>
                      <a:noFill/>
                    </a:ln>
                  </pic:spPr>
                </pic:pic>
              </a:graphicData>
            </a:graphic>
          </wp:inline>
        </w:drawing>
      </w:r>
    </w:p>
    <w:p w14:paraId="0179039C" w14:textId="77777777" w:rsidR="00523457" w:rsidRPr="00D2402B" w:rsidRDefault="00523457" w:rsidP="006A018A">
      <w:pPr>
        <w:rPr>
          <w:rFonts w:eastAsia="Times New Roman" w:cs="Arial"/>
          <w:sz w:val="24"/>
          <w:szCs w:val="24"/>
        </w:rPr>
      </w:pPr>
    </w:p>
    <w:p w14:paraId="0C8EF964" w14:textId="171D0228" w:rsidR="006A018A" w:rsidRPr="00301D4F" w:rsidRDefault="006A018A" w:rsidP="006A018A">
      <w:pPr>
        <w:rPr>
          <w:rFonts w:eastAsia="Times New Roman" w:cs="Arial"/>
          <w:sz w:val="24"/>
          <w:szCs w:val="24"/>
          <w:highlight w:val="yellow"/>
        </w:rPr>
      </w:pPr>
    </w:p>
    <w:p w14:paraId="6982FC6D" w14:textId="77777777" w:rsidR="006A018A" w:rsidRPr="00301D4F" w:rsidRDefault="006A018A" w:rsidP="00E150E4">
      <w:pPr>
        <w:rPr>
          <w:b/>
          <w:bCs/>
          <w:highlight w:val="yellow"/>
        </w:rPr>
      </w:pPr>
    </w:p>
    <w:p w14:paraId="0424A0D0" w14:textId="77777777" w:rsidR="00E150E4" w:rsidRPr="00301D4F" w:rsidRDefault="00E150E4" w:rsidP="00573DBD">
      <w:pPr>
        <w:jc w:val="right"/>
        <w:rPr>
          <w:b/>
          <w:bCs/>
          <w:highlight w:val="yellow"/>
        </w:rPr>
      </w:pPr>
    </w:p>
    <w:p w14:paraId="7156E285" w14:textId="0C3A0AA8" w:rsidR="002C582B" w:rsidRPr="00D2402B" w:rsidRDefault="005215BB" w:rsidP="00573DBD">
      <w:pPr>
        <w:jc w:val="right"/>
        <w:rPr>
          <w:b/>
          <w:bCs/>
        </w:rPr>
      </w:pPr>
      <w:r w:rsidRPr="00D2402B">
        <w:rPr>
          <w:b/>
          <w:bCs/>
        </w:rPr>
        <w:t xml:space="preserve">Appendix </w:t>
      </w:r>
      <w:r w:rsidR="006A018A" w:rsidRPr="00D2402B">
        <w:rPr>
          <w:b/>
          <w:bCs/>
        </w:rPr>
        <w:t>5</w:t>
      </w:r>
    </w:p>
    <w:p w14:paraId="0B414C15" w14:textId="182D0DA1" w:rsidR="005215BB" w:rsidRDefault="005215BB" w:rsidP="005215BB">
      <w:pPr>
        <w:rPr>
          <w:b/>
          <w:bCs/>
        </w:rPr>
      </w:pPr>
      <w:r w:rsidRPr="00D2402B">
        <w:rPr>
          <w:b/>
          <w:bCs/>
        </w:rPr>
        <w:t>Capital Programme 2023/24</w:t>
      </w:r>
    </w:p>
    <w:p w14:paraId="08FAFE19" w14:textId="77777777" w:rsidR="00523457" w:rsidRDefault="00523457" w:rsidP="005215BB">
      <w:pPr>
        <w:rPr>
          <w:b/>
          <w:bCs/>
        </w:rPr>
      </w:pPr>
    </w:p>
    <w:p w14:paraId="0E2926BA" w14:textId="674075C9" w:rsidR="00523457" w:rsidRPr="00D2402B" w:rsidRDefault="00523457" w:rsidP="005215BB">
      <w:pPr>
        <w:rPr>
          <w:b/>
          <w:bCs/>
        </w:rPr>
      </w:pPr>
      <w:r w:rsidRPr="00523457">
        <w:rPr>
          <w:noProof/>
        </w:rPr>
        <w:drawing>
          <wp:inline distT="0" distB="0" distL="0" distR="0" wp14:anchorId="353500B3" wp14:editId="2488065D">
            <wp:extent cx="5431327" cy="3235569"/>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33875" cy="3237087"/>
                    </a:xfrm>
                    <a:prstGeom prst="rect">
                      <a:avLst/>
                    </a:prstGeom>
                    <a:noFill/>
                    <a:ln>
                      <a:noFill/>
                    </a:ln>
                  </pic:spPr>
                </pic:pic>
              </a:graphicData>
            </a:graphic>
          </wp:inline>
        </w:drawing>
      </w:r>
    </w:p>
    <w:p w14:paraId="17C7BBB9" w14:textId="77777777" w:rsidR="002C582B" w:rsidRDefault="002C582B" w:rsidP="00573DBD">
      <w:pPr>
        <w:jc w:val="right"/>
        <w:rPr>
          <w:b/>
          <w:bCs/>
        </w:rPr>
      </w:pPr>
    </w:p>
    <w:p w14:paraId="707F63F2" w14:textId="127D8735" w:rsidR="001B4F55" w:rsidRDefault="001B4F55" w:rsidP="00506216">
      <w:pPr>
        <w:rPr>
          <w:b/>
          <w:bCs/>
        </w:rPr>
      </w:pPr>
      <w:r w:rsidRPr="001B4F55">
        <w:rPr>
          <w:noProof/>
        </w:rPr>
        <w:drawing>
          <wp:inline distT="0" distB="0" distL="0" distR="0" wp14:anchorId="45D2CD8D" wp14:editId="26F26641">
            <wp:extent cx="5393144" cy="4378569"/>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8635" cy="4399264"/>
                    </a:xfrm>
                    <a:prstGeom prst="rect">
                      <a:avLst/>
                    </a:prstGeom>
                    <a:noFill/>
                    <a:ln>
                      <a:noFill/>
                    </a:ln>
                  </pic:spPr>
                </pic:pic>
              </a:graphicData>
            </a:graphic>
          </wp:inline>
        </w:drawing>
      </w:r>
    </w:p>
    <w:p w14:paraId="10474C9B" w14:textId="77777777" w:rsidR="001B4F55" w:rsidRPr="00D2402B" w:rsidRDefault="001B4F55" w:rsidP="00573DBD">
      <w:pPr>
        <w:jc w:val="right"/>
        <w:rPr>
          <w:b/>
          <w:bCs/>
        </w:rPr>
      </w:pPr>
    </w:p>
    <w:p w14:paraId="422C25CE" w14:textId="69A0B462" w:rsidR="00F511AC" w:rsidRDefault="00F511AC" w:rsidP="00341936">
      <w:pPr>
        <w:jc w:val="center"/>
        <w:rPr>
          <w:rFonts w:eastAsia="Times New Roman" w:cs="Arial"/>
          <w:b/>
          <w:highlight w:val="yellow"/>
        </w:rPr>
      </w:pPr>
    </w:p>
    <w:p w14:paraId="5F568FC3" w14:textId="53613E02" w:rsidR="00D2402B" w:rsidRPr="00301D4F" w:rsidRDefault="00D2402B" w:rsidP="00341936">
      <w:pPr>
        <w:jc w:val="center"/>
        <w:rPr>
          <w:rFonts w:eastAsia="Times New Roman" w:cs="Arial"/>
          <w:b/>
          <w:highlight w:val="yellow"/>
        </w:rPr>
      </w:pPr>
    </w:p>
    <w:p w14:paraId="288A6A8F" w14:textId="57144836" w:rsidR="001236A4" w:rsidRPr="00C2343F" w:rsidRDefault="0016347A" w:rsidP="0016347A">
      <w:pPr>
        <w:spacing w:line="276" w:lineRule="auto"/>
        <w:jc w:val="right"/>
        <w:rPr>
          <w:b/>
          <w:bCs/>
        </w:rPr>
      </w:pPr>
      <w:r w:rsidRPr="00C2343F">
        <w:rPr>
          <w:b/>
          <w:bCs/>
        </w:rPr>
        <w:t>A</w:t>
      </w:r>
      <w:r w:rsidR="001236A4" w:rsidRPr="00C2343F">
        <w:rPr>
          <w:b/>
          <w:bCs/>
        </w:rPr>
        <w:t xml:space="preserve">ppendix </w:t>
      </w:r>
      <w:r w:rsidR="00355B1E" w:rsidRPr="00C2343F">
        <w:rPr>
          <w:b/>
          <w:bCs/>
        </w:rPr>
        <w:t>6</w:t>
      </w:r>
    </w:p>
    <w:p w14:paraId="27D3D4D5" w14:textId="659FB946" w:rsidR="001236A4" w:rsidRPr="00C2343F" w:rsidRDefault="001236A4" w:rsidP="001236A4">
      <w:pPr>
        <w:rPr>
          <w:b/>
          <w:bCs/>
        </w:rPr>
      </w:pPr>
      <w:r w:rsidRPr="00C2343F">
        <w:rPr>
          <w:b/>
          <w:bCs/>
        </w:rPr>
        <w:t xml:space="preserve">Reserves </w:t>
      </w:r>
      <w:r w:rsidR="00F511AC" w:rsidRPr="00C2343F">
        <w:rPr>
          <w:b/>
          <w:bCs/>
        </w:rPr>
        <w:t>202</w:t>
      </w:r>
      <w:r w:rsidR="00A6658D" w:rsidRPr="00C2343F">
        <w:rPr>
          <w:b/>
          <w:bCs/>
        </w:rPr>
        <w:t>3</w:t>
      </w:r>
      <w:r w:rsidR="00F511AC" w:rsidRPr="00C2343F">
        <w:rPr>
          <w:b/>
          <w:bCs/>
        </w:rPr>
        <w:t>/2</w:t>
      </w:r>
      <w:r w:rsidR="00A6658D" w:rsidRPr="00C2343F">
        <w:rPr>
          <w:b/>
          <w:bCs/>
        </w:rPr>
        <w:t>4</w:t>
      </w:r>
    </w:p>
    <w:p w14:paraId="2AFD0354" w14:textId="401F6369" w:rsidR="00340655" w:rsidRPr="00C2343F" w:rsidRDefault="00340655" w:rsidP="001236A4">
      <w:pPr>
        <w:rPr>
          <w:b/>
          <w:bCs/>
        </w:rPr>
      </w:pPr>
    </w:p>
    <w:p w14:paraId="0F359049" w14:textId="25DBCE81" w:rsidR="006903CF" w:rsidRPr="00301D4F" w:rsidRDefault="00E829C8" w:rsidP="001236A4">
      <w:pPr>
        <w:rPr>
          <w:b/>
          <w:bCs/>
          <w:highlight w:val="yellow"/>
        </w:rPr>
      </w:pPr>
      <w:r w:rsidRPr="00E829C8">
        <w:rPr>
          <w:noProof/>
        </w:rPr>
        <w:drawing>
          <wp:inline distT="0" distB="0" distL="0" distR="0" wp14:anchorId="2B00A7FD" wp14:editId="604988D6">
            <wp:extent cx="5731510" cy="2625725"/>
            <wp:effectExtent l="0" t="0" r="254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2625725"/>
                    </a:xfrm>
                    <a:prstGeom prst="rect">
                      <a:avLst/>
                    </a:prstGeom>
                    <a:noFill/>
                    <a:ln>
                      <a:noFill/>
                    </a:ln>
                  </pic:spPr>
                </pic:pic>
              </a:graphicData>
            </a:graphic>
          </wp:inline>
        </w:drawing>
      </w:r>
    </w:p>
    <w:p w14:paraId="73E077A7" w14:textId="19D45FA3" w:rsidR="00DE096E" w:rsidRPr="00301D4F" w:rsidRDefault="00DE096E" w:rsidP="001236A4">
      <w:pPr>
        <w:rPr>
          <w:b/>
          <w:bCs/>
          <w:highlight w:val="yellow"/>
        </w:rPr>
      </w:pPr>
    </w:p>
    <w:p w14:paraId="77EAD0AA" w14:textId="77777777" w:rsidR="006903CF" w:rsidRPr="00301D4F" w:rsidRDefault="006903CF" w:rsidP="001236A4">
      <w:pPr>
        <w:rPr>
          <w:b/>
          <w:bCs/>
          <w:highlight w:val="yellow"/>
        </w:rPr>
      </w:pPr>
    </w:p>
    <w:p w14:paraId="35E3EC15" w14:textId="1C157449" w:rsidR="00FA6249" w:rsidRPr="00301D4F" w:rsidRDefault="00FA6249" w:rsidP="001236A4">
      <w:pPr>
        <w:rPr>
          <w:b/>
          <w:bCs/>
          <w:highlight w:val="yellow"/>
        </w:rPr>
      </w:pPr>
    </w:p>
    <w:p w14:paraId="0F01963A" w14:textId="77777777" w:rsidR="00E150E4" w:rsidRPr="00301D4F" w:rsidRDefault="00E150E4" w:rsidP="001236A4">
      <w:pPr>
        <w:rPr>
          <w:b/>
          <w:bCs/>
          <w:highlight w:val="yellow"/>
        </w:rPr>
      </w:pPr>
    </w:p>
    <w:p w14:paraId="7F11CBA1" w14:textId="77777777" w:rsidR="00E150E4" w:rsidRPr="00301D4F" w:rsidRDefault="00E150E4" w:rsidP="001236A4">
      <w:pPr>
        <w:rPr>
          <w:b/>
          <w:bCs/>
          <w:highlight w:val="yellow"/>
        </w:rPr>
      </w:pPr>
    </w:p>
    <w:p w14:paraId="55303295" w14:textId="77777777" w:rsidR="00E150E4" w:rsidRPr="00301D4F" w:rsidRDefault="00E150E4" w:rsidP="001236A4">
      <w:pPr>
        <w:rPr>
          <w:b/>
          <w:bCs/>
          <w:highlight w:val="yellow"/>
        </w:rPr>
      </w:pPr>
    </w:p>
    <w:p w14:paraId="798D470B" w14:textId="77777777" w:rsidR="00E150E4" w:rsidRPr="00301D4F" w:rsidRDefault="00E150E4" w:rsidP="001236A4">
      <w:pPr>
        <w:rPr>
          <w:b/>
          <w:bCs/>
          <w:highlight w:val="yellow"/>
        </w:rPr>
      </w:pPr>
    </w:p>
    <w:p w14:paraId="4EA54E6A" w14:textId="77777777" w:rsidR="00E150E4" w:rsidRPr="00301D4F" w:rsidRDefault="00E150E4" w:rsidP="001236A4">
      <w:pPr>
        <w:rPr>
          <w:b/>
          <w:bCs/>
          <w:highlight w:val="yellow"/>
        </w:rPr>
      </w:pPr>
    </w:p>
    <w:p w14:paraId="3587C9DB" w14:textId="77777777" w:rsidR="00E150E4" w:rsidRPr="00301D4F" w:rsidRDefault="00E150E4" w:rsidP="001236A4">
      <w:pPr>
        <w:rPr>
          <w:b/>
          <w:bCs/>
          <w:highlight w:val="yellow"/>
        </w:rPr>
      </w:pPr>
    </w:p>
    <w:p w14:paraId="015BDC1E" w14:textId="77777777" w:rsidR="00E150E4" w:rsidRPr="00301D4F" w:rsidRDefault="00E150E4" w:rsidP="001236A4">
      <w:pPr>
        <w:rPr>
          <w:b/>
          <w:bCs/>
          <w:highlight w:val="yellow"/>
        </w:rPr>
      </w:pPr>
    </w:p>
    <w:p w14:paraId="0374C483" w14:textId="77777777" w:rsidR="00E150E4" w:rsidRPr="00301D4F" w:rsidRDefault="00E150E4" w:rsidP="001236A4">
      <w:pPr>
        <w:rPr>
          <w:b/>
          <w:bCs/>
          <w:highlight w:val="yellow"/>
        </w:rPr>
      </w:pPr>
    </w:p>
    <w:p w14:paraId="67448013" w14:textId="77777777" w:rsidR="00E150E4" w:rsidRPr="00301D4F" w:rsidRDefault="00E150E4" w:rsidP="001236A4">
      <w:pPr>
        <w:rPr>
          <w:b/>
          <w:bCs/>
          <w:highlight w:val="yellow"/>
        </w:rPr>
      </w:pPr>
    </w:p>
    <w:p w14:paraId="6D18631B" w14:textId="77777777" w:rsidR="00E150E4" w:rsidRPr="00301D4F" w:rsidRDefault="00E150E4" w:rsidP="001236A4">
      <w:pPr>
        <w:rPr>
          <w:b/>
          <w:bCs/>
          <w:highlight w:val="yellow"/>
        </w:rPr>
      </w:pPr>
    </w:p>
    <w:p w14:paraId="7AB144F5" w14:textId="77777777" w:rsidR="00E150E4" w:rsidRPr="00301D4F" w:rsidRDefault="00E150E4" w:rsidP="001236A4">
      <w:pPr>
        <w:rPr>
          <w:b/>
          <w:bCs/>
          <w:highlight w:val="yellow"/>
        </w:rPr>
      </w:pPr>
    </w:p>
    <w:p w14:paraId="4F966C12" w14:textId="77777777" w:rsidR="00E150E4" w:rsidRPr="00301D4F" w:rsidRDefault="00E150E4" w:rsidP="001236A4">
      <w:pPr>
        <w:rPr>
          <w:b/>
          <w:bCs/>
          <w:highlight w:val="yellow"/>
        </w:rPr>
      </w:pPr>
    </w:p>
    <w:p w14:paraId="5C6E8DC6" w14:textId="77777777" w:rsidR="00E150E4" w:rsidRPr="00301D4F" w:rsidRDefault="00E150E4" w:rsidP="001236A4">
      <w:pPr>
        <w:rPr>
          <w:b/>
          <w:bCs/>
          <w:highlight w:val="yellow"/>
        </w:rPr>
      </w:pPr>
    </w:p>
    <w:p w14:paraId="2D519C77" w14:textId="77777777" w:rsidR="00E150E4" w:rsidRPr="00301D4F" w:rsidRDefault="00E150E4" w:rsidP="001236A4">
      <w:pPr>
        <w:rPr>
          <w:b/>
          <w:bCs/>
          <w:highlight w:val="yellow"/>
        </w:rPr>
      </w:pPr>
    </w:p>
    <w:p w14:paraId="38A8BEAA" w14:textId="77777777" w:rsidR="00E150E4" w:rsidRPr="00301D4F" w:rsidRDefault="00E150E4" w:rsidP="001236A4">
      <w:pPr>
        <w:rPr>
          <w:b/>
          <w:bCs/>
          <w:highlight w:val="yellow"/>
        </w:rPr>
      </w:pPr>
    </w:p>
    <w:p w14:paraId="7B9DCED2" w14:textId="77777777" w:rsidR="00E150E4" w:rsidRPr="00301D4F" w:rsidRDefault="00E150E4" w:rsidP="001236A4">
      <w:pPr>
        <w:rPr>
          <w:b/>
          <w:bCs/>
          <w:highlight w:val="yellow"/>
        </w:rPr>
      </w:pPr>
    </w:p>
    <w:p w14:paraId="5311AC2E" w14:textId="77777777" w:rsidR="00E150E4" w:rsidRPr="00301D4F" w:rsidRDefault="00E150E4" w:rsidP="001236A4">
      <w:pPr>
        <w:rPr>
          <w:b/>
          <w:bCs/>
          <w:highlight w:val="yellow"/>
        </w:rPr>
      </w:pPr>
    </w:p>
    <w:p w14:paraId="7824877A" w14:textId="77777777" w:rsidR="00E150E4" w:rsidRPr="00301D4F" w:rsidRDefault="00E150E4" w:rsidP="001236A4">
      <w:pPr>
        <w:rPr>
          <w:b/>
          <w:bCs/>
          <w:highlight w:val="yellow"/>
        </w:rPr>
      </w:pPr>
    </w:p>
    <w:p w14:paraId="20504460" w14:textId="77777777" w:rsidR="00E150E4" w:rsidRPr="00301D4F" w:rsidRDefault="00E150E4" w:rsidP="001236A4">
      <w:pPr>
        <w:rPr>
          <w:b/>
          <w:bCs/>
          <w:highlight w:val="yellow"/>
        </w:rPr>
      </w:pPr>
    </w:p>
    <w:p w14:paraId="5A2BE54D" w14:textId="77777777" w:rsidR="00E150E4" w:rsidRPr="00301D4F" w:rsidRDefault="00E150E4" w:rsidP="001236A4">
      <w:pPr>
        <w:rPr>
          <w:b/>
          <w:bCs/>
          <w:highlight w:val="yellow"/>
        </w:rPr>
      </w:pPr>
    </w:p>
    <w:p w14:paraId="2280D2E2" w14:textId="77777777" w:rsidR="00E150E4" w:rsidRPr="00301D4F" w:rsidRDefault="00E150E4" w:rsidP="001236A4">
      <w:pPr>
        <w:rPr>
          <w:b/>
          <w:bCs/>
          <w:highlight w:val="yellow"/>
        </w:rPr>
      </w:pPr>
    </w:p>
    <w:p w14:paraId="45216A2B" w14:textId="77777777" w:rsidR="00E150E4" w:rsidRPr="00301D4F" w:rsidRDefault="00E150E4" w:rsidP="001236A4">
      <w:pPr>
        <w:rPr>
          <w:b/>
          <w:bCs/>
          <w:highlight w:val="yellow"/>
        </w:rPr>
      </w:pPr>
    </w:p>
    <w:p w14:paraId="594D7C2E" w14:textId="77777777" w:rsidR="00E150E4" w:rsidRPr="00301D4F" w:rsidRDefault="00E150E4" w:rsidP="001236A4">
      <w:pPr>
        <w:rPr>
          <w:b/>
          <w:bCs/>
          <w:highlight w:val="yellow"/>
        </w:rPr>
      </w:pPr>
    </w:p>
    <w:p w14:paraId="395C8CEF" w14:textId="77777777" w:rsidR="00E150E4" w:rsidRPr="00301D4F" w:rsidRDefault="00E150E4" w:rsidP="001236A4">
      <w:pPr>
        <w:rPr>
          <w:b/>
          <w:bCs/>
          <w:highlight w:val="yellow"/>
        </w:rPr>
      </w:pPr>
    </w:p>
    <w:p w14:paraId="04E82703" w14:textId="77777777" w:rsidR="00E150E4" w:rsidRPr="00301D4F" w:rsidRDefault="00E150E4" w:rsidP="001236A4">
      <w:pPr>
        <w:rPr>
          <w:b/>
          <w:bCs/>
          <w:highlight w:val="yellow"/>
        </w:rPr>
      </w:pPr>
    </w:p>
    <w:p w14:paraId="3C28C7A1" w14:textId="77777777" w:rsidR="00E150E4" w:rsidRPr="00301D4F" w:rsidRDefault="00E150E4" w:rsidP="001236A4">
      <w:pPr>
        <w:rPr>
          <w:b/>
          <w:bCs/>
          <w:highlight w:val="yellow"/>
        </w:rPr>
      </w:pPr>
    </w:p>
    <w:p w14:paraId="46230736" w14:textId="77777777" w:rsidR="00E150E4" w:rsidRPr="00301D4F" w:rsidRDefault="00E150E4" w:rsidP="001236A4">
      <w:pPr>
        <w:rPr>
          <w:b/>
          <w:bCs/>
          <w:highlight w:val="yellow"/>
        </w:rPr>
      </w:pPr>
    </w:p>
    <w:p w14:paraId="347EC26D" w14:textId="77777777" w:rsidR="00E150E4" w:rsidRDefault="00E150E4" w:rsidP="001236A4">
      <w:pPr>
        <w:rPr>
          <w:b/>
          <w:bCs/>
          <w:highlight w:val="yellow"/>
        </w:rPr>
      </w:pPr>
    </w:p>
    <w:p w14:paraId="6D2CC98A" w14:textId="77777777" w:rsidR="00506216" w:rsidRDefault="00506216" w:rsidP="001236A4">
      <w:pPr>
        <w:rPr>
          <w:b/>
          <w:bCs/>
          <w:highlight w:val="yellow"/>
        </w:rPr>
      </w:pPr>
    </w:p>
    <w:p w14:paraId="32D31D5B" w14:textId="77777777" w:rsidR="00506216" w:rsidRPr="00301D4F" w:rsidRDefault="00506216" w:rsidP="001236A4">
      <w:pPr>
        <w:rPr>
          <w:b/>
          <w:bCs/>
          <w:highlight w:val="yellow"/>
        </w:rPr>
      </w:pPr>
    </w:p>
    <w:p w14:paraId="53B727C4" w14:textId="77777777" w:rsidR="00E150E4" w:rsidRPr="00301D4F" w:rsidRDefault="00E150E4" w:rsidP="001236A4">
      <w:pPr>
        <w:rPr>
          <w:b/>
          <w:bCs/>
          <w:highlight w:val="yellow"/>
        </w:rPr>
      </w:pPr>
    </w:p>
    <w:p w14:paraId="494B8D7A" w14:textId="77777777" w:rsidR="00E150E4" w:rsidRPr="00301D4F" w:rsidRDefault="00E150E4" w:rsidP="001236A4">
      <w:pPr>
        <w:rPr>
          <w:b/>
          <w:bCs/>
          <w:highlight w:val="yellow"/>
        </w:rPr>
      </w:pPr>
    </w:p>
    <w:p w14:paraId="1DAD64FB" w14:textId="77777777" w:rsidR="00E150E4" w:rsidRPr="00301D4F" w:rsidRDefault="00E150E4" w:rsidP="001236A4">
      <w:pPr>
        <w:rPr>
          <w:b/>
          <w:bCs/>
          <w:highlight w:val="yellow"/>
        </w:rPr>
      </w:pPr>
    </w:p>
    <w:p w14:paraId="46B8C0AF" w14:textId="034400FF" w:rsidR="001236A4" w:rsidRPr="00E829C8" w:rsidRDefault="00355B1E" w:rsidP="00355B1E">
      <w:pPr>
        <w:jc w:val="right"/>
        <w:rPr>
          <w:b/>
          <w:bCs/>
        </w:rPr>
      </w:pPr>
      <w:r w:rsidRPr="00E829C8">
        <w:rPr>
          <w:b/>
          <w:bCs/>
        </w:rPr>
        <w:t>Appendix 7</w:t>
      </w:r>
    </w:p>
    <w:p w14:paraId="304CD063" w14:textId="02311F81" w:rsidR="00355B1E" w:rsidRPr="00E829C8" w:rsidRDefault="00355B1E" w:rsidP="00355B1E">
      <w:pPr>
        <w:rPr>
          <w:b/>
          <w:bCs/>
        </w:rPr>
      </w:pPr>
      <w:r w:rsidRPr="00E829C8">
        <w:rPr>
          <w:b/>
          <w:bCs/>
        </w:rPr>
        <w:t>ITG Strategy</w:t>
      </w:r>
      <w:r w:rsidR="00E829C8" w:rsidRPr="00E829C8">
        <w:rPr>
          <w:b/>
          <w:bCs/>
        </w:rPr>
        <w:t xml:space="preserve"> 2023-24</w:t>
      </w:r>
    </w:p>
    <w:p w14:paraId="17255A2A" w14:textId="77777777" w:rsidR="00355B1E" w:rsidRPr="00E829C8" w:rsidRDefault="00355B1E" w:rsidP="00355B1E">
      <w:pPr>
        <w:rPr>
          <w:b/>
          <w:bCs/>
        </w:rPr>
      </w:pPr>
    </w:p>
    <w:p w14:paraId="5F6173B7" w14:textId="53B7BB73" w:rsidR="00355B1E" w:rsidRPr="00E829C8" w:rsidRDefault="00355B1E" w:rsidP="00355B1E">
      <w:pPr>
        <w:rPr>
          <w:b/>
          <w:bCs/>
        </w:rPr>
      </w:pPr>
    </w:p>
    <w:p w14:paraId="71A1BEAB" w14:textId="21EAB1F8" w:rsidR="001236A4" w:rsidRPr="00301D4F" w:rsidRDefault="00E829C8" w:rsidP="001236A4">
      <w:pPr>
        <w:rPr>
          <w:b/>
          <w:bCs/>
          <w:highlight w:val="yellow"/>
        </w:rPr>
      </w:pPr>
      <w:r w:rsidRPr="00E829C8">
        <w:rPr>
          <w:noProof/>
        </w:rPr>
        <w:drawing>
          <wp:inline distT="0" distB="0" distL="0" distR="0" wp14:anchorId="52C39ACB" wp14:editId="3880FF38">
            <wp:extent cx="5429250" cy="34761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32716" cy="3478359"/>
                    </a:xfrm>
                    <a:prstGeom prst="rect">
                      <a:avLst/>
                    </a:prstGeom>
                    <a:noFill/>
                    <a:ln>
                      <a:noFill/>
                    </a:ln>
                  </pic:spPr>
                </pic:pic>
              </a:graphicData>
            </a:graphic>
          </wp:inline>
        </w:drawing>
      </w:r>
    </w:p>
    <w:p w14:paraId="72DDF7C3" w14:textId="4876DD7D" w:rsidR="00F41564" w:rsidRPr="00301D4F" w:rsidRDefault="00F41564" w:rsidP="001236A4">
      <w:pPr>
        <w:rPr>
          <w:b/>
          <w:bCs/>
          <w:highlight w:val="yellow"/>
        </w:rPr>
      </w:pPr>
    </w:p>
    <w:p w14:paraId="131BE2BF" w14:textId="2FD6872A" w:rsidR="00F41564" w:rsidRPr="00301D4F" w:rsidRDefault="00F41564" w:rsidP="001236A4">
      <w:pPr>
        <w:rPr>
          <w:b/>
          <w:bCs/>
          <w:highlight w:val="yellow"/>
        </w:rPr>
      </w:pPr>
    </w:p>
    <w:p w14:paraId="540C1E90" w14:textId="6FFD5F03" w:rsidR="00F41564" w:rsidRPr="00301D4F" w:rsidRDefault="00F41564" w:rsidP="001236A4">
      <w:pPr>
        <w:rPr>
          <w:b/>
          <w:bCs/>
          <w:highlight w:val="yellow"/>
        </w:rPr>
      </w:pPr>
    </w:p>
    <w:p w14:paraId="6632FB16" w14:textId="4CD764B7" w:rsidR="00F41564" w:rsidRPr="00301D4F" w:rsidRDefault="00F41564" w:rsidP="001236A4">
      <w:pPr>
        <w:rPr>
          <w:b/>
          <w:bCs/>
          <w:highlight w:val="yellow"/>
        </w:rPr>
      </w:pPr>
    </w:p>
    <w:p w14:paraId="7E3FA5A1" w14:textId="6AC219EE" w:rsidR="00F41564" w:rsidRPr="00301D4F" w:rsidRDefault="00F41564" w:rsidP="001236A4">
      <w:pPr>
        <w:rPr>
          <w:b/>
          <w:bCs/>
          <w:highlight w:val="yellow"/>
        </w:rPr>
      </w:pPr>
    </w:p>
    <w:p w14:paraId="3369B6D3" w14:textId="79977DB0" w:rsidR="00F41564" w:rsidRPr="00301D4F" w:rsidRDefault="00F41564" w:rsidP="001236A4">
      <w:pPr>
        <w:rPr>
          <w:b/>
          <w:bCs/>
          <w:highlight w:val="yellow"/>
        </w:rPr>
      </w:pPr>
    </w:p>
    <w:p w14:paraId="43BDBC41" w14:textId="60EBD211" w:rsidR="00F41564" w:rsidRPr="00301D4F" w:rsidRDefault="00F41564" w:rsidP="001236A4">
      <w:pPr>
        <w:rPr>
          <w:b/>
          <w:bCs/>
          <w:highlight w:val="yellow"/>
        </w:rPr>
      </w:pPr>
    </w:p>
    <w:p w14:paraId="51E6C8D1" w14:textId="1DB2D052" w:rsidR="00F41564" w:rsidRPr="00301D4F" w:rsidRDefault="00F41564" w:rsidP="001236A4">
      <w:pPr>
        <w:rPr>
          <w:b/>
          <w:bCs/>
          <w:highlight w:val="yellow"/>
        </w:rPr>
      </w:pPr>
    </w:p>
    <w:p w14:paraId="6FEE9DD2" w14:textId="30297ECC" w:rsidR="00F41564" w:rsidRPr="00301D4F" w:rsidRDefault="00F41564" w:rsidP="001236A4">
      <w:pPr>
        <w:rPr>
          <w:b/>
          <w:bCs/>
          <w:highlight w:val="yellow"/>
        </w:rPr>
      </w:pPr>
    </w:p>
    <w:p w14:paraId="42F2152D" w14:textId="5C233A9C" w:rsidR="00F41564" w:rsidRPr="00301D4F" w:rsidRDefault="00F41564" w:rsidP="001236A4">
      <w:pPr>
        <w:rPr>
          <w:b/>
          <w:bCs/>
          <w:highlight w:val="yellow"/>
        </w:rPr>
      </w:pPr>
    </w:p>
    <w:p w14:paraId="4E8C55A7" w14:textId="78BEBF7B" w:rsidR="00F41564" w:rsidRPr="00301D4F" w:rsidRDefault="00F41564" w:rsidP="001236A4">
      <w:pPr>
        <w:rPr>
          <w:b/>
          <w:bCs/>
          <w:highlight w:val="yellow"/>
        </w:rPr>
      </w:pPr>
    </w:p>
    <w:p w14:paraId="48C4CD64" w14:textId="41084AF9" w:rsidR="00F41564" w:rsidRPr="00301D4F" w:rsidRDefault="00F41564" w:rsidP="001236A4">
      <w:pPr>
        <w:rPr>
          <w:b/>
          <w:bCs/>
          <w:highlight w:val="yellow"/>
        </w:rPr>
      </w:pPr>
    </w:p>
    <w:p w14:paraId="7630FD88" w14:textId="507B4AC2" w:rsidR="00F41564" w:rsidRPr="00301D4F" w:rsidRDefault="00F41564" w:rsidP="001236A4">
      <w:pPr>
        <w:rPr>
          <w:b/>
          <w:bCs/>
          <w:highlight w:val="yellow"/>
        </w:rPr>
      </w:pPr>
    </w:p>
    <w:p w14:paraId="24EFD429" w14:textId="1FAB0103" w:rsidR="00F41564" w:rsidRPr="00301D4F" w:rsidRDefault="00F41564" w:rsidP="001236A4">
      <w:pPr>
        <w:rPr>
          <w:b/>
          <w:bCs/>
          <w:highlight w:val="yellow"/>
        </w:rPr>
      </w:pPr>
    </w:p>
    <w:p w14:paraId="7E529AF1" w14:textId="420EFB00" w:rsidR="00F41564" w:rsidRPr="00301D4F" w:rsidRDefault="00F41564" w:rsidP="001236A4">
      <w:pPr>
        <w:rPr>
          <w:b/>
          <w:bCs/>
          <w:highlight w:val="yellow"/>
        </w:rPr>
      </w:pPr>
    </w:p>
    <w:p w14:paraId="53BFF4C2" w14:textId="061D9471" w:rsidR="00F41564" w:rsidRPr="00301D4F" w:rsidRDefault="00F41564" w:rsidP="001236A4">
      <w:pPr>
        <w:rPr>
          <w:b/>
          <w:bCs/>
          <w:highlight w:val="yellow"/>
        </w:rPr>
      </w:pPr>
    </w:p>
    <w:p w14:paraId="37D45DFC" w14:textId="69266975" w:rsidR="00F41564" w:rsidRPr="00301D4F" w:rsidRDefault="00F41564" w:rsidP="001236A4">
      <w:pPr>
        <w:rPr>
          <w:b/>
          <w:bCs/>
          <w:highlight w:val="yellow"/>
        </w:rPr>
      </w:pPr>
    </w:p>
    <w:p w14:paraId="01A89057" w14:textId="3AB5FD1F" w:rsidR="00F41564" w:rsidRPr="00301D4F" w:rsidRDefault="00F41564" w:rsidP="001236A4">
      <w:pPr>
        <w:rPr>
          <w:b/>
          <w:bCs/>
          <w:highlight w:val="yellow"/>
        </w:rPr>
      </w:pPr>
    </w:p>
    <w:p w14:paraId="72BC6BD8" w14:textId="4182441D" w:rsidR="00F41564" w:rsidRPr="00301D4F" w:rsidRDefault="00F41564" w:rsidP="001236A4">
      <w:pPr>
        <w:rPr>
          <w:b/>
          <w:bCs/>
          <w:highlight w:val="yellow"/>
        </w:rPr>
      </w:pPr>
    </w:p>
    <w:p w14:paraId="3D7BF61C" w14:textId="579D6763" w:rsidR="00F41564" w:rsidRPr="00301D4F" w:rsidRDefault="00F41564" w:rsidP="001236A4">
      <w:pPr>
        <w:rPr>
          <w:b/>
          <w:bCs/>
          <w:highlight w:val="yellow"/>
        </w:rPr>
      </w:pPr>
    </w:p>
    <w:p w14:paraId="4C942B4A" w14:textId="6B4D860E" w:rsidR="00F41564" w:rsidRPr="00301D4F" w:rsidRDefault="00F41564" w:rsidP="001236A4">
      <w:pPr>
        <w:rPr>
          <w:b/>
          <w:bCs/>
          <w:highlight w:val="yellow"/>
        </w:rPr>
      </w:pPr>
    </w:p>
    <w:p w14:paraId="181CAE91" w14:textId="1F619E4F" w:rsidR="00F41564" w:rsidRPr="00301D4F" w:rsidRDefault="00F41564" w:rsidP="001236A4">
      <w:pPr>
        <w:rPr>
          <w:b/>
          <w:bCs/>
          <w:highlight w:val="yellow"/>
        </w:rPr>
      </w:pPr>
    </w:p>
    <w:p w14:paraId="7F0307EC" w14:textId="3253F706" w:rsidR="00F41564" w:rsidRPr="00301D4F" w:rsidRDefault="00F41564" w:rsidP="001236A4">
      <w:pPr>
        <w:rPr>
          <w:b/>
          <w:bCs/>
          <w:highlight w:val="yellow"/>
        </w:rPr>
      </w:pPr>
    </w:p>
    <w:p w14:paraId="5A38789F" w14:textId="437844A0" w:rsidR="00F41564" w:rsidRPr="00301D4F" w:rsidRDefault="00F41564" w:rsidP="001236A4">
      <w:pPr>
        <w:rPr>
          <w:b/>
          <w:bCs/>
          <w:highlight w:val="yellow"/>
        </w:rPr>
      </w:pPr>
    </w:p>
    <w:p w14:paraId="77ED984C" w14:textId="70F88435" w:rsidR="00F41564" w:rsidRPr="00301D4F" w:rsidRDefault="00F41564" w:rsidP="001236A4">
      <w:pPr>
        <w:rPr>
          <w:b/>
          <w:bCs/>
          <w:highlight w:val="yellow"/>
        </w:rPr>
      </w:pPr>
    </w:p>
    <w:p w14:paraId="08F4D4FA" w14:textId="339B27B4" w:rsidR="00F41564" w:rsidRPr="00301D4F" w:rsidRDefault="00F41564" w:rsidP="001236A4">
      <w:pPr>
        <w:rPr>
          <w:b/>
          <w:bCs/>
          <w:highlight w:val="yellow"/>
        </w:rPr>
      </w:pPr>
    </w:p>
    <w:p w14:paraId="624EF6A9" w14:textId="0A599C2C" w:rsidR="00F41564" w:rsidRPr="00301D4F" w:rsidRDefault="00F41564" w:rsidP="001236A4">
      <w:pPr>
        <w:rPr>
          <w:b/>
          <w:bCs/>
          <w:highlight w:val="yellow"/>
        </w:rPr>
      </w:pPr>
    </w:p>
    <w:p w14:paraId="2AC8F13E" w14:textId="79DBA645" w:rsidR="00F41564" w:rsidRPr="00301D4F" w:rsidRDefault="00F41564" w:rsidP="001236A4">
      <w:pPr>
        <w:rPr>
          <w:b/>
          <w:bCs/>
          <w:highlight w:val="yellow"/>
        </w:rPr>
      </w:pPr>
    </w:p>
    <w:p w14:paraId="7A86A198" w14:textId="19F2403A" w:rsidR="00F41564" w:rsidRPr="00301D4F" w:rsidRDefault="00F41564" w:rsidP="001236A4">
      <w:pPr>
        <w:rPr>
          <w:b/>
          <w:bCs/>
          <w:highlight w:val="yellow"/>
        </w:rPr>
      </w:pPr>
    </w:p>
    <w:sectPr w:rsidR="00F41564" w:rsidRPr="00301D4F" w:rsidSect="001C4178">
      <w:footerReference w:type="default" r:id="rId20"/>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BDE4" w14:textId="77777777" w:rsidR="00253FAA" w:rsidRDefault="00253FAA" w:rsidP="00403DF1">
      <w:r>
        <w:separator/>
      </w:r>
    </w:p>
  </w:endnote>
  <w:endnote w:type="continuationSeparator" w:id="0">
    <w:p w14:paraId="22D18A05" w14:textId="77777777" w:rsidR="00253FAA" w:rsidRDefault="00253FAA" w:rsidP="0040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1927" w14:textId="4177F628" w:rsidR="00253FAA" w:rsidRDefault="00253FAA" w:rsidP="005D21C3">
    <w:pPr>
      <w:pStyle w:val="Footer"/>
      <w:jc w:val="right"/>
      <w:rPr>
        <w:sz w:val="16"/>
      </w:rPr>
    </w:pPr>
  </w:p>
  <w:p w14:paraId="6DC7F084" w14:textId="2104F18E" w:rsidR="00253FAA" w:rsidRPr="005D21C3" w:rsidRDefault="00253FAA" w:rsidP="005D21C3">
    <w:pPr>
      <w:pStyle w:val="Footer"/>
      <w:jc w:val="right"/>
    </w:pPr>
    <w:r>
      <w:t xml:space="preserve">Saved Document on </w:t>
    </w:r>
    <w:r>
      <w:fldChar w:fldCharType="begin"/>
    </w:r>
    <w:r>
      <w:instrText xml:space="preserve"> SAVEDATE \@ "dd/MM/yy" \* MERGEFORMAT </w:instrText>
    </w:r>
    <w:r>
      <w:fldChar w:fldCharType="separate"/>
    </w:r>
    <w:r w:rsidR="00506216">
      <w:rPr>
        <w:noProof/>
      </w:rPr>
      <w:t>03/01/24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6B3F" w14:textId="77777777" w:rsidR="00253FAA" w:rsidRDefault="00253FAA" w:rsidP="00403DF1">
      <w:r>
        <w:separator/>
      </w:r>
    </w:p>
  </w:footnote>
  <w:footnote w:type="continuationSeparator" w:id="0">
    <w:p w14:paraId="1DE6D240" w14:textId="77777777" w:rsidR="00253FAA" w:rsidRDefault="00253FAA" w:rsidP="00403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25D"/>
    <w:multiLevelType w:val="hybridMultilevel"/>
    <w:tmpl w:val="69625E5C"/>
    <w:lvl w:ilvl="0" w:tplc="32B82A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43253"/>
    <w:multiLevelType w:val="hybridMultilevel"/>
    <w:tmpl w:val="AEB6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B0808"/>
    <w:multiLevelType w:val="hybridMultilevel"/>
    <w:tmpl w:val="70E0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F2345"/>
    <w:multiLevelType w:val="hybridMultilevel"/>
    <w:tmpl w:val="9544F35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E3105EF"/>
    <w:multiLevelType w:val="hybridMultilevel"/>
    <w:tmpl w:val="A9FA5D4C"/>
    <w:lvl w:ilvl="0" w:tplc="F0CA13D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A5DCD"/>
    <w:multiLevelType w:val="hybridMultilevel"/>
    <w:tmpl w:val="A868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B39E2"/>
    <w:multiLevelType w:val="hybridMultilevel"/>
    <w:tmpl w:val="C25A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03C1A"/>
    <w:multiLevelType w:val="hybridMultilevel"/>
    <w:tmpl w:val="D47A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3406A"/>
    <w:multiLevelType w:val="hybridMultilevel"/>
    <w:tmpl w:val="D936AD12"/>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9" w15:restartNumberingAfterBreak="0">
    <w:nsid w:val="30F73ACA"/>
    <w:multiLevelType w:val="hybridMultilevel"/>
    <w:tmpl w:val="1582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77228"/>
    <w:multiLevelType w:val="hybridMultilevel"/>
    <w:tmpl w:val="6004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70601"/>
    <w:multiLevelType w:val="hybridMultilevel"/>
    <w:tmpl w:val="2A16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A5465"/>
    <w:multiLevelType w:val="hybridMultilevel"/>
    <w:tmpl w:val="9544F356"/>
    <w:lvl w:ilvl="0" w:tplc="C79097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6157475"/>
    <w:multiLevelType w:val="hybridMultilevel"/>
    <w:tmpl w:val="1C48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684DD5"/>
    <w:multiLevelType w:val="hybridMultilevel"/>
    <w:tmpl w:val="2FD0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1528"/>
    <w:multiLevelType w:val="hybridMultilevel"/>
    <w:tmpl w:val="2D1E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315A0"/>
    <w:multiLevelType w:val="hybridMultilevel"/>
    <w:tmpl w:val="9544F35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09E36A1"/>
    <w:multiLevelType w:val="hybridMultilevel"/>
    <w:tmpl w:val="FF46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A14B7A"/>
    <w:multiLevelType w:val="hybridMultilevel"/>
    <w:tmpl w:val="F72027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5173A50"/>
    <w:multiLevelType w:val="hybridMultilevel"/>
    <w:tmpl w:val="68B4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7E70DD"/>
    <w:multiLevelType w:val="hybridMultilevel"/>
    <w:tmpl w:val="981C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F3380"/>
    <w:multiLevelType w:val="hybridMultilevel"/>
    <w:tmpl w:val="BABA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44FBD"/>
    <w:multiLevelType w:val="hybridMultilevel"/>
    <w:tmpl w:val="ABF2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E0C2D"/>
    <w:multiLevelType w:val="hybridMultilevel"/>
    <w:tmpl w:val="0E3C967E"/>
    <w:lvl w:ilvl="0" w:tplc="B22A7F7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545772">
    <w:abstractNumId w:val="12"/>
  </w:num>
  <w:num w:numId="2" w16cid:durableId="1423453797">
    <w:abstractNumId w:val="9"/>
  </w:num>
  <w:num w:numId="3" w16cid:durableId="1832984605">
    <w:abstractNumId w:val="1"/>
  </w:num>
  <w:num w:numId="4" w16cid:durableId="71008098">
    <w:abstractNumId w:val="18"/>
  </w:num>
  <w:num w:numId="5" w16cid:durableId="82730482">
    <w:abstractNumId w:val="13"/>
  </w:num>
  <w:num w:numId="6" w16cid:durableId="1521431394">
    <w:abstractNumId w:val="4"/>
  </w:num>
  <w:num w:numId="7" w16cid:durableId="558631058">
    <w:abstractNumId w:val="11"/>
  </w:num>
  <w:num w:numId="8" w16cid:durableId="1678775387">
    <w:abstractNumId w:val="17"/>
  </w:num>
  <w:num w:numId="9" w16cid:durableId="1748183163">
    <w:abstractNumId w:val="2"/>
  </w:num>
  <w:num w:numId="10" w16cid:durableId="651444412">
    <w:abstractNumId w:val="14"/>
  </w:num>
  <w:num w:numId="11" w16cid:durableId="113906828">
    <w:abstractNumId w:val="19"/>
  </w:num>
  <w:num w:numId="12" w16cid:durableId="275673113">
    <w:abstractNumId w:val="0"/>
  </w:num>
  <w:num w:numId="13" w16cid:durableId="1968848657">
    <w:abstractNumId w:val="7"/>
  </w:num>
  <w:num w:numId="14" w16cid:durableId="1985159285">
    <w:abstractNumId w:val="20"/>
  </w:num>
  <w:num w:numId="15" w16cid:durableId="1337532966">
    <w:abstractNumId w:val="23"/>
  </w:num>
  <w:num w:numId="16" w16cid:durableId="1299190390">
    <w:abstractNumId w:val="5"/>
  </w:num>
  <w:num w:numId="17" w16cid:durableId="177087503">
    <w:abstractNumId w:val="15"/>
  </w:num>
  <w:num w:numId="18" w16cid:durableId="698820998">
    <w:abstractNumId w:val="6"/>
  </w:num>
  <w:num w:numId="19" w16cid:durableId="150292791">
    <w:abstractNumId w:val="21"/>
  </w:num>
  <w:num w:numId="20" w16cid:durableId="1287278211">
    <w:abstractNumId w:val="16"/>
  </w:num>
  <w:num w:numId="21" w16cid:durableId="97990412">
    <w:abstractNumId w:val="22"/>
  </w:num>
  <w:num w:numId="22" w16cid:durableId="909193725">
    <w:abstractNumId w:val="3"/>
  </w:num>
  <w:num w:numId="23" w16cid:durableId="122887584">
    <w:abstractNumId w:val="8"/>
  </w:num>
  <w:num w:numId="24" w16cid:durableId="1364089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90"/>
    <w:rsid w:val="0000008E"/>
    <w:rsid w:val="00001F64"/>
    <w:rsid w:val="00002FFB"/>
    <w:rsid w:val="00004664"/>
    <w:rsid w:val="00004FE1"/>
    <w:rsid w:val="00007B0B"/>
    <w:rsid w:val="0001065F"/>
    <w:rsid w:val="00010A4B"/>
    <w:rsid w:val="00011418"/>
    <w:rsid w:val="00014441"/>
    <w:rsid w:val="00014FEA"/>
    <w:rsid w:val="0001520E"/>
    <w:rsid w:val="0001620E"/>
    <w:rsid w:val="000171FE"/>
    <w:rsid w:val="000174CE"/>
    <w:rsid w:val="00022096"/>
    <w:rsid w:val="0002411A"/>
    <w:rsid w:val="00024CD3"/>
    <w:rsid w:val="0003001E"/>
    <w:rsid w:val="00032368"/>
    <w:rsid w:val="00034856"/>
    <w:rsid w:val="00036819"/>
    <w:rsid w:val="00037809"/>
    <w:rsid w:val="0003795A"/>
    <w:rsid w:val="000507E2"/>
    <w:rsid w:val="00051C1E"/>
    <w:rsid w:val="00052C99"/>
    <w:rsid w:val="000549A9"/>
    <w:rsid w:val="000549AD"/>
    <w:rsid w:val="00054A43"/>
    <w:rsid w:val="00054A51"/>
    <w:rsid w:val="00055280"/>
    <w:rsid w:val="00055E19"/>
    <w:rsid w:val="0005716A"/>
    <w:rsid w:val="00057359"/>
    <w:rsid w:val="00057FEF"/>
    <w:rsid w:val="000636F2"/>
    <w:rsid w:val="00066ABF"/>
    <w:rsid w:val="000677F0"/>
    <w:rsid w:val="000717EB"/>
    <w:rsid w:val="00071E18"/>
    <w:rsid w:val="00074C7A"/>
    <w:rsid w:val="0007608D"/>
    <w:rsid w:val="0007777E"/>
    <w:rsid w:val="000777AD"/>
    <w:rsid w:val="00077C41"/>
    <w:rsid w:val="000811F6"/>
    <w:rsid w:val="00081D14"/>
    <w:rsid w:val="00082DCD"/>
    <w:rsid w:val="0008472F"/>
    <w:rsid w:val="00087526"/>
    <w:rsid w:val="000879A9"/>
    <w:rsid w:val="00091394"/>
    <w:rsid w:val="00091ACC"/>
    <w:rsid w:val="00092C75"/>
    <w:rsid w:val="0009332E"/>
    <w:rsid w:val="000933F1"/>
    <w:rsid w:val="00095963"/>
    <w:rsid w:val="0009725B"/>
    <w:rsid w:val="000A059B"/>
    <w:rsid w:val="000A0CE0"/>
    <w:rsid w:val="000A219A"/>
    <w:rsid w:val="000A3040"/>
    <w:rsid w:val="000A3D70"/>
    <w:rsid w:val="000A4D04"/>
    <w:rsid w:val="000A6BE1"/>
    <w:rsid w:val="000B0542"/>
    <w:rsid w:val="000B3187"/>
    <w:rsid w:val="000B3508"/>
    <w:rsid w:val="000B53A3"/>
    <w:rsid w:val="000B7736"/>
    <w:rsid w:val="000C2E80"/>
    <w:rsid w:val="000C48FC"/>
    <w:rsid w:val="000C5C69"/>
    <w:rsid w:val="000C6BA0"/>
    <w:rsid w:val="000C6D06"/>
    <w:rsid w:val="000C7DB7"/>
    <w:rsid w:val="000C7F94"/>
    <w:rsid w:val="000D4564"/>
    <w:rsid w:val="000D6FA9"/>
    <w:rsid w:val="000E0DF2"/>
    <w:rsid w:val="000E15F5"/>
    <w:rsid w:val="000E39DE"/>
    <w:rsid w:val="000E446A"/>
    <w:rsid w:val="000E5B47"/>
    <w:rsid w:val="000E60F8"/>
    <w:rsid w:val="000E6FCF"/>
    <w:rsid w:val="000F2F38"/>
    <w:rsid w:val="00100018"/>
    <w:rsid w:val="0010127F"/>
    <w:rsid w:val="0010131A"/>
    <w:rsid w:val="00101D5A"/>
    <w:rsid w:val="00101EE8"/>
    <w:rsid w:val="0010371C"/>
    <w:rsid w:val="00103B53"/>
    <w:rsid w:val="0011084C"/>
    <w:rsid w:val="00111282"/>
    <w:rsid w:val="0011172C"/>
    <w:rsid w:val="00111C1E"/>
    <w:rsid w:val="00115C78"/>
    <w:rsid w:val="00116097"/>
    <w:rsid w:val="001164AF"/>
    <w:rsid w:val="001200B6"/>
    <w:rsid w:val="0012091A"/>
    <w:rsid w:val="00121CC4"/>
    <w:rsid w:val="0012212D"/>
    <w:rsid w:val="001236A4"/>
    <w:rsid w:val="00123977"/>
    <w:rsid w:val="00125161"/>
    <w:rsid w:val="00125C27"/>
    <w:rsid w:val="00131D21"/>
    <w:rsid w:val="00133353"/>
    <w:rsid w:val="00134088"/>
    <w:rsid w:val="00135683"/>
    <w:rsid w:val="001366CB"/>
    <w:rsid w:val="00137D1E"/>
    <w:rsid w:val="001409B7"/>
    <w:rsid w:val="00141FDD"/>
    <w:rsid w:val="0014221B"/>
    <w:rsid w:val="001423F1"/>
    <w:rsid w:val="001469CD"/>
    <w:rsid w:val="00150E71"/>
    <w:rsid w:val="00154EEA"/>
    <w:rsid w:val="001561E4"/>
    <w:rsid w:val="001563BC"/>
    <w:rsid w:val="00160E5E"/>
    <w:rsid w:val="0016347A"/>
    <w:rsid w:val="00163AA3"/>
    <w:rsid w:val="001674C8"/>
    <w:rsid w:val="00171558"/>
    <w:rsid w:val="001715F7"/>
    <w:rsid w:val="00174075"/>
    <w:rsid w:val="00180810"/>
    <w:rsid w:val="00180DB3"/>
    <w:rsid w:val="00181861"/>
    <w:rsid w:val="00183881"/>
    <w:rsid w:val="00183A22"/>
    <w:rsid w:val="00190098"/>
    <w:rsid w:val="001913C1"/>
    <w:rsid w:val="00194B34"/>
    <w:rsid w:val="00197945"/>
    <w:rsid w:val="00197E47"/>
    <w:rsid w:val="001A07C1"/>
    <w:rsid w:val="001A10D7"/>
    <w:rsid w:val="001A14CC"/>
    <w:rsid w:val="001A1A17"/>
    <w:rsid w:val="001A2BC2"/>
    <w:rsid w:val="001A3A2D"/>
    <w:rsid w:val="001A47E3"/>
    <w:rsid w:val="001A659D"/>
    <w:rsid w:val="001A7020"/>
    <w:rsid w:val="001A7EB6"/>
    <w:rsid w:val="001B030A"/>
    <w:rsid w:val="001B0BCD"/>
    <w:rsid w:val="001B0E18"/>
    <w:rsid w:val="001B2216"/>
    <w:rsid w:val="001B4630"/>
    <w:rsid w:val="001B4F55"/>
    <w:rsid w:val="001B5BF7"/>
    <w:rsid w:val="001B7F3B"/>
    <w:rsid w:val="001C151C"/>
    <w:rsid w:val="001C1F17"/>
    <w:rsid w:val="001C1F40"/>
    <w:rsid w:val="001C21CC"/>
    <w:rsid w:val="001C24B4"/>
    <w:rsid w:val="001C2918"/>
    <w:rsid w:val="001C3DCC"/>
    <w:rsid w:val="001C4178"/>
    <w:rsid w:val="001C51E2"/>
    <w:rsid w:val="001D01CA"/>
    <w:rsid w:val="001D3CC7"/>
    <w:rsid w:val="001D6442"/>
    <w:rsid w:val="001E10AF"/>
    <w:rsid w:val="001E1892"/>
    <w:rsid w:val="001E1989"/>
    <w:rsid w:val="001E1B9A"/>
    <w:rsid w:val="001E1CF6"/>
    <w:rsid w:val="001E1E01"/>
    <w:rsid w:val="001F097F"/>
    <w:rsid w:val="001F0FA4"/>
    <w:rsid w:val="001F190D"/>
    <w:rsid w:val="001F1C36"/>
    <w:rsid w:val="001F1D84"/>
    <w:rsid w:val="001F34C6"/>
    <w:rsid w:val="001F3766"/>
    <w:rsid w:val="001F589D"/>
    <w:rsid w:val="001F7E17"/>
    <w:rsid w:val="0020183F"/>
    <w:rsid w:val="002038A0"/>
    <w:rsid w:val="00207302"/>
    <w:rsid w:val="00211A6D"/>
    <w:rsid w:val="00211C2F"/>
    <w:rsid w:val="00212843"/>
    <w:rsid w:val="00212BB9"/>
    <w:rsid w:val="00214366"/>
    <w:rsid w:val="00214DAF"/>
    <w:rsid w:val="002170CA"/>
    <w:rsid w:val="00220F9B"/>
    <w:rsid w:val="00223775"/>
    <w:rsid w:val="002258B3"/>
    <w:rsid w:val="00225FFE"/>
    <w:rsid w:val="0022729E"/>
    <w:rsid w:val="00227382"/>
    <w:rsid w:val="00227858"/>
    <w:rsid w:val="00230CDC"/>
    <w:rsid w:val="00231DFA"/>
    <w:rsid w:val="0023219D"/>
    <w:rsid w:val="002338D2"/>
    <w:rsid w:val="002349F2"/>
    <w:rsid w:val="00235345"/>
    <w:rsid w:val="00236816"/>
    <w:rsid w:val="0024332E"/>
    <w:rsid w:val="002437D1"/>
    <w:rsid w:val="002437F0"/>
    <w:rsid w:val="0024398C"/>
    <w:rsid w:val="002529DB"/>
    <w:rsid w:val="00253FAA"/>
    <w:rsid w:val="002545B1"/>
    <w:rsid w:val="00254E83"/>
    <w:rsid w:val="00255E4E"/>
    <w:rsid w:val="002562E3"/>
    <w:rsid w:val="00257DD3"/>
    <w:rsid w:val="00270BB2"/>
    <w:rsid w:val="00271E64"/>
    <w:rsid w:val="00274535"/>
    <w:rsid w:val="00276D85"/>
    <w:rsid w:val="00277CD6"/>
    <w:rsid w:val="00280F87"/>
    <w:rsid w:val="002828E0"/>
    <w:rsid w:val="002829AE"/>
    <w:rsid w:val="002845A0"/>
    <w:rsid w:val="00285150"/>
    <w:rsid w:val="00286CFD"/>
    <w:rsid w:val="00287671"/>
    <w:rsid w:val="002903CC"/>
    <w:rsid w:val="00295FB8"/>
    <w:rsid w:val="00296B8C"/>
    <w:rsid w:val="00296CA4"/>
    <w:rsid w:val="00297F97"/>
    <w:rsid w:val="002A00A6"/>
    <w:rsid w:val="002A1D23"/>
    <w:rsid w:val="002A27C2"/>
    <w:rsid w:val="002A2AE5"/>
    <w:rsid w:val="002A2D36"/>
    <w:rsid w:val="002A48BC"/>
    <w:rsid w:val="002A6A98"/>
    <w:rsid w:val="002A7EC7"/>
    <w:rsid w:val="002B2625"/>
    <w:rsid w:val="002B5BF6"/>
    <w:rsid w:val="002C0FBF"/>
    <w:rsid w:val="002C3382"/>
    <w:rsid w:val="002C553B"/>
    <w:rsid w:val="002C582B"/>
    <w:rsid w:val="002C796A"/>
    <w:rsid w:val="002D11AB"/>
    <w:rsid w:val="002D2EC7"/>
    <w:rsid w:val="002D324D"/>
    <w:rsid w:val="002D3FFA"/>
    <w:rsid w:val="002D53E4"/>
    <w:rsid w:val="002D5B4C"/>
    <w:rsid w:val="002D65C5"/>
    <w:rsid w:val="002D6766"/>
    <w:rsid w:val="002E24DB"/>
    <w:rsid w:val="002E2845"/>
    <w:rsid w:val="002E298C"/>
    <w:rsid w:val="002E78D9"/>
    <w:rsid w:val="002F07F0"/>
    <w:rsid w:val="002F0D31"/>
    <w:rsid w:val="002F0D9D"/>
    <w:rsid w:val="002F18FB"/>
    <w:rsid w:val="002F1CDF"/>
    <w:rsid w:val="002F37CD"/>
    <w:rsid w:val="002F37E2"/>
    <w:rsid w:val="002F5D0A"/>
    <w:rsid w:val="002F7C6C"/>
    <w:rsid w:val="003008E2"/>
    <w:rsid w:val="00301032"/>
    <w:rsid w:val="0030157C"/>
    <w:rsid w:val="00301863"/>
    <w:rsid w:val="00301D4F"/>
    <w:rsid w:val="0030459E"/>
    <w:rsid w:val="003048BC"/>
    <w:rsid w:val="00304FED"/>
    <w:rsid w:val="00307F0D"/>
    <w:rsid w:val="0031166A"/>
    <w:rsid w:val="00311CDA"/>
    <w:rsid w:val="003137AD"/>
    <w:rsid w:val="00313C53"/>
    <w:rsid w:val="00314F3A"/>
    <w:rsid w:val="003151FE"/>
    <w:rsid w:val="003159B9"/>
    <w:rsid w:val="00315A47"/>
    <w:rsid w:val="00316249"/>
    <w:rsid w:val="003168D5"/>
    <w:rsid w:val="003169A4"/>
    <w:rsid w:val="00322115"/>
    <w:rsid w:val="00323B9A"/>
    <w:rsid w:val="003269BA"/>
    <w:rsid w:val="00326BDC"/>
    <w:rsid w:val="00330191"/>
    <w:rsid w:val="003314BB"/>
    <w:rsid w:val="0033555A"/>
    <w:rsid w:val="003364C3"/>
    <w:rsid w:val="00336DA4"/>
    <w:rsid w:val="00336FDB"/>
    <w:rsid w:val="00340655"/>
    <w:rsid w:val="00341730"/>
    <w:rsid w:val="003418DB"/>
    <w:rsid w:val="00341936"/>
    <w:rsid w:val="00342E56"/>
    <w:rsid w:val="00344A58"/>
    <w:rsid w:val="0034569C"/>
    <w:rsid w:val="00345707"/>
    <w:rsid w:val="003478FE"/>
    <w:rsid w:val="00347F3B"/>
    <w:rsid w:val="003511ED"/>
    <w:rsid w:val="00354653"/>
    <w:rsid w:val="003554A3"/>
    <w:rsid w:val="00355B1E"/>
    <w:rsid w:val="003561F6"/>
    <w:rsid w:val="003627AC"/>
    <w:rsid w:val="00362B32"/>
    <w:rsid w:val="00363875"/>
    <w:rsid w:val="00363C52"/>
    <w:rsid w:val="003648CE"/>
    <w:rsid w:val="00364C31"/>
    <w:rsid w:val="00365C08"/>
    <w:rsid w:val="00365E12"/>
    <w:rsid w:val="003667A7"/>
    <w:rsid w:val="00370256"/>
    <w:rsid w:val="00370E4C"/>
    <w:rsid w:val="00370EF1"/>
    <w:rsid w:val="003711BC"/>
    <w:rsid w:val="003720CB"/>
    <w:rsid w:val="00376740"/>
    <w:rsid w:val="0037707B"/>
    <w:rsid w:val="003807FF"/>
    <w:rsid w:val="003819A8"/>
    <w:rsid w:val="00387456"/>
    <w:rsid w:val="00387A2E"/>
    <w:rsid w:val="003901C2"/>
    <w:rsid w:val="0039170F"/>
    <w:rsid w:val="00395E02"/>
    <w:rsid w:val="003964B2"/>
    <w:rsid w:val="003A057A"/>
    <w:rsid w:val="003A25D5"/>
    <w:rsid w:val="003A3531"/>
    <w:rsid w:val="003A3685"/>
    <w:rsid w:val="003A5622"/>
    <w:rsid w:val="003A7A4F"/>
    <w:rsid w:val="003A7B8F"/>
    <w:rsid w:val="003A7BA6"/>
    <w:rsid w:val="003A7D6C"/>
    <w:rsid w:val="003B0069"/>
    <w:rsid w:val="003B362C"/>
    <w:rsid w:val="003B3BC3"/>
    <w:rsid w:val="003B44C9"/>
    <w:rsid w:val="003B70D0"/>
    <w:rsid w:val="003C241C"/>
    <w:rsid w:val="003C2BFE"/>
    <w:rsid w:val="003C31E6"/>
    <w:rsid w:val="003C6488"/>
    <w:rsid w:val="003C6BD9"/>
    <w:rsid w:val="003C705B"/>
    <w:rsid w:val="003C78B5"/>
    <w:rsid w:val="003D18D2"/>
    <w:rsid w:val="003D288F"/>
    <w:rsid w:val="003D29EC"/>
    <w:rsid w:val="003D318B"/>
    <w:rsid w:val="003D48C7"/>
    <w:rsid w:val="003E0AD0"/>
    <w:rsid w:val="003E1989"/>
    <w:rsid w:val="003E23F4"/>
    <w:rsid w:val="003E3BBE"/>
    <w:rsid w:val="003E4D16"/>
    <w:rsid w:val="003E6283"/>
    <w:rsid w:val="003E6AE6"/>
    <w:rsid w:val="003E7064"/>
    <w:rsid w:val="003F08A3"/>
    <w:rsid w:val="003F0F0D"/>
    <w:rsid w:val="003F1022"/>
    <w:rsid w:val="003F542B"/>
    <w:rsid w:val="003F5446"/>
    <w:rsid w:val="003F6D65"/>
    <w:rsid w:val="003F6E94"/>
    <w:rsid w:val="00400EC0"/>
    <w:rsid w:val="0040109C"/>
    <w:rsid w:val="00401945"/>
    <w:rsid w:val="004024D2"/>
    <w:rsid w:val="004029D3"/>
    <w:rsid w:val="00403DF1"/>
    <w:rsid w:val="0040538A"/>
    <w:rsid w:val="004072CE"/>
    <w:rsid w:val="00407371"/>
    <w:rsid w:val="004077D0"/>
    <w:rsid w:val="00413E4A"/>
    <w:rsid w:val="00414FCA"/>
    <w:rsid w:val="00417549"/>
    <w:rsid w:val="0042088A"/>
    <w:rsid w:val="00421098"/>
    <w:rsid w:val="004219B8"/>
    <w:rsid w:val="00423E6A"/>
    <w:rsid w:val="00424355"/>
    <w:rsid w:val="00424975"/>
    <w:rsid w:val="00424D87"/>
    <w:rsid w:val="00424DB0"/>
    <w:rsid w:val="0042793F"/>
    <w:rsid w:val="004312B2"/>
    <w:rsid w:val="00434FA3"/>
    <w:rsid w:val="00434FB0"/>
    <w:rsid w:val="00441CD6"/>
    <w:rsid w:val="00444537"/>
    <w:rsid w:val="00444E55"/>
    <w:rsid w:val="00445F2C"/>
    <w:rsid w:val="00447D1F"/>
    <w:rsid w:val="00450F36"/>
    <w:rsid w:val="00452CB2"/>
    <w:rsid w:val="004534B0"/>
    <w:rsid w:val="00455C88"/>
    <w:rsid w:val="00455E22"/>
    <w:rsid w:val="00456221"/>
    <w:rsid w:val="00456613"/>
    <w:rsid w:val="0046067A"/>
    <w:rsid w:val="0046110F"/>
    <w:rsid w:val="004613FD"/>
    <w:rsid w:val="00461ACF"/>
    <w:rsid w:val="004662D1"/>
    <w:rsid w:val="00470523"/>
    <w:rsid w:val="004730A7"/>
    <w:rsid w:val="00475A72"/>
    <w:rsid w:val="00475D0C"/>
    <w:rsid w:val="0047605A"/>
    <w:rsid w:val="00477802"/>
    <w:rsid w:val="004809EA"/>
    <w:rsid w:val="00481E90"/>
    <w:rsid w:val="00482D64"/>
    <w:rsid w:val="0048302C"/>
    <w:rsid w:val="0048398F"/>
    <w:rsid w:val="0048410E"/>
    <w:rsid w:val="00485033"/>
    <w:rsid w:val="0048626C"/>
    <w:rsid w:val="004879A4"/>
    <w:rsid w:val="00487E4C"/>
    <w:rsid w:val="0049193A"/>
    <w:rsid w:val="004930E2"/>
    <w:rsid w:val="00493CE4"/>
    <w:rsid w:val="00495E80"/>
    <w:rsid w:val="004963E4"/>
    <w:rsid w:val="0049663F"/>
    <w:rsid w:val="0049678E"/>
    <w:rsid w:val="00497781"/>
    <w:rsid w:val="00497980"/>
    <w:rsid w:val="004A055A"/>
    <w:rsid w:val="004A1794"/>
    <w:rsid w:val="004A4349"/>
    <w:rsid w:val="004A4FEC"/>
    <w:rsid w:val="004B4DC3"/>
    <w:rsid w:val="004B5222"/>
    <w:rsid w:val="004B7185"/>
    <w:rsid w:val="004C0A4D"/>
    <w:rsid w:val="004C0E51"/>
    <w:rsid w:val="004C46F3"/>
    <w:rsid w:val="004C606C"/>
    <w:rsid w:val="004C6A7F"/>
    <w:rsid w:val="004E28E7"/>
    <w:rsid w:val="004E2CA8"/>
    <w:rsid w:val="004E33B1"/>
    <w:rsid w:val="004E50E2"/>
    <w:rsid w:val="004E592A"/>
    <w:rsid w:val="004E5E25"/>
    <w:rsid w:val="004E61B8"/>
    <w:rsid w:val="004E75E8"/>
    <w:rsid w:val="004F31ED"/>
    <w:rsid w:val="004F340A"/>
    <w:rsid w:val="004F438F"/>
    <w:rsid w:val="004F5501"/>
    <w:rsid w:val="005006CC"/>
    <w:rsid w:val="00502AB1"/>
    <w:rsid w:val="00503369"/>
    <w:rsid w:val="005045DD"/>
    <w:rsid w:val="005046C4"/>
    <w:rsid w:val="00506216"/>
    <w:rsid w:val="00506258"/>
    <w:rsid w:val="00506E29"/>
    <w:rsid w:val="005103C0"/>
    <w:rsid w:val="0051079D"/>
    <w:rsid w:val="00510BA2"/>
    <w:rsid w:val="00512B67"/>
    <w:rsid w:val="00512C0B"/>
    <w:rsid w:val="00514BF7"/>
    <w:rsid w:val="00517D29"/>
    <w:rsid w:val="005215BB"/>
    <w:rsid w:val="0052269D"/>
    <w:rsid w:val="005228E6"/>
    <w:rsid w:val="00523457"/>
    <w:rsid w:val="005236D7"/>
    <w:rsid w:val="00523A66"/>
    <w:rsid w:val="005240CD"/>
    <w:rsid w:val="00525073"/>
    <w:rsid w:val="00531B21"/>
    <w:rsid w:val="00531C6B"/>
    <w:rsid w:val="005363BD"/>
    <w:rsid w:val="0053778E"/>
    <w:rsid w:val="005378DB"/>
    <w:rsid w:val="00540258"/>
    <w:rsid w:val="0054157A"/>
    <w:rsid w:val="00541D81"/>
    <w:rsid w:val="00542459"/>
    <w:rsid w:val="005434B7"/>
    <w:rsid w:val="0054433F"/>
    <w:rsid w:val="00546520"/>
    <w:rsid w:val="005507F5"/>
    <w:rsid w:val="00551855"/>
    <w:rsid w:val="00551A7D"/>
    <w:rsid w:val="00551DDE"/>
    <w:rsid w:val="00552B50"/>
    <w:rsid w:val="00552BCE"/>
    <w:rsid w:val="00554298"/>
    <w:rsid w:val="00554929"/>
    <w:rsid w:val="00555D79"/>
    <w:rsid w:val="00556FDD"/>
    <w:rsid w:val="005638E5"/>
    <w:rsid w:val="00564D36"/>
    <w:rsid w:val="00564DB5"/>
    <w:rsid w:val="00565845"/>
    <w:rsid w:val="0056682E"/>
    <w:rsid w:val="005718CE"/>
    <w:rsid w:val="00571AD9"/>
    <w:rsid w:val="00571CA6"/>
    <w:rsid w:val="0057393A"/>
    <w:rsid w:val="00573DBD"/>
    <w:rsid w:val="00576ED7"/>
    <w:rsid w:val="0058076B"/>
    <w:rsid w:val="00583482"/>
    <w:rsid w:val="005841CF"/>
    <w:rsid w:val="00584690"/>
    <w:rsid w:val="00592687"/>
    <w:rsid w:val="00593699"/>
    <w:rsid w:val="00593EFA"/>
    <w:rsid w:val="00595E07"/>
    <w:rsid w:val="005966B5"/>
    <w:rsid w:val="00596820"/>
    <w:rsid w:val="005A1D53"/>
    <w:rsid w:val="005A2B65"/>
    <w:rsid w:val="005A4024"/>
    <w:rsid w:val="005A4AEC"/>
    <w:rsid w:val="005A6167"/>
    <w:rsid w:val="005A6CA4"/>
    <w:rsid w:val="005A754A"/>
    <w:rsid w:val="005B005B"/>
    <w:rsid w:val="005B2833"/>
    <w:rsid w:val="005B4436"/>
    <w:rsid w:val="005B49D7"/>
    <w:rsid w:val="005B4ADB"/>
    <w:rsid w:val="005B51F5"/>
    <w:rsid w:val="005B6169"/>
    <w:rsid w:val="005B6D15"/>
    <w:rsid w:val="005B773B"/>
    <w:rsid w:val="005C1A33"/>
    <w:rsid w:val="005C5264"/>
    <w:rsid w:val="005D0ACE"/>
    <w:rsid w:val="005D0E90"/>
    <w:rsid w:val="005D1B7B"/>
    <w:rsid w:val="005D21C3"/>
    <w:rsid w:val="005D3106"/>
    <w:rsid w:val="005E00EE"/>
    <w:rsid w:val="005E0849"/>
    <w:rsid w:val="005E2AAF"/>
    <w:rsid w:val="005E2BA2"/>
    <w:rsid w:val="005E46A9"/>
    <w:rsid w:val="005E598B"/>
    <w:rsid w:val="005E69E9"/>
    <w:rsid w:val="005E6F2D"/>
    <w:rsid w:val="005E7982"/>
    <w:rsid w:val="005F1B46"/>
    <w:rsid w:val="005F23BD"/>
    <w:rsid w:val="005F24C6"/>
    <w:rsid w:val="005F4A87"/>
    <w:rsid w:val="005F5618"/>
    <w:rsid w:val="005F6456"/>
    <w:rsid w:val="005F6BB9"/>
    <w:rsid w:val="005F7919"/>
    <w:rsid w:val="005F7CD1"/>
    <w:rsid w:val="0060187C"/>
    <w:rsid w:val="006029D3"/>
    <w:rsid w:val="00603231"/>
    <w:rsid w:val="00603D2C"/>
    <w:rsid w:val="00604AA3"/>
    <w:rsid w:val="00605BF4"/>
    <w:rsid w:val="00606E59"/>
    <w:rsid w:val="006123D3"/>
    <w:rsid w:val="00612A0F"/>
    <w:rsid w:val="006137A3"/>
    <w:rsid w:val="0061440C"/>
    <w:rsid w:val="00615C87"/>
    <w:rsid w:val="00617FE9"/>
    <w:rsid w:val="00620DB1"/>
    <w:rsid w:val="006245C2"/>
    <w:rsid w:val="0062506D"/>
    <w:rsid w:val="006255D6"/>
    <w:rsid w:val="006265D0"/>
    <w:rsid w:val="00627A5B"/>
    <w:rsid w:val="00630514"/>
    <w:rsid w:val="006306FC"/>
    <w:rsid w:val="00632479"/>
    <w:rsid w:val="00635A03"/>
    <w:rsid w:val="00636695"/>
    <w:rsid w:val="006367AA"/>
    <w:rsid w:val="00637B57"/>
    <w:rsid w:val="00640FC2"/>
    <w:rsid w:val="00643F11"/>
    <w:rsid w:val="00646B68"/>
    <w:rsid w:val="0064703C"/>
    <w:rsid w:val="006470FD"/>
    <w:rsid w:val="0065239F"/>
    <w:rsid w:val="0065245C"/>
    <w:rsid w:val="00652BDE"/>
    <w:rsid w:val="00652FB6"/>
    <w:rsid w:val="0065710C"/>
    <w:rsid w:val="00657AF1"/>
    <w:rsid w:val="0066193F"/>
    <w:rsid w:val="00661D46"/>
    <w:rsid w:val="006759BA"/>
    <w:rsid w:val="00675F64"/>
    <w:rsid w:val="006774A4"/>
    <w:rsid w:val="006774F3"/>
    <w:rsid w:val="00683518"/>
    <w:rsid w:val="0068392F"/>
    <w:rsid w:val="006903CF"/>
    <w:rsid w:val="0069054B"/>
    <w:rsid w:val="0069094A"/>
    <w:rsid w:val="006917B0"/>
    <w:rsid w:val="00693FBD"/>
    <w:rsid w:val="00695CA2"/>
    <w:rsid w:val="00696C7D"/>
    <w:rsid w:val="00697358"/>
    <w:rsid w:val="00697F99"/>
    <w:rsid w:val="006A018A"/>
    <w:rsid w:val="006A3030"/>
    <w:rsid w:val="006A37C0"/>
    <w:rsid w:val="006A65F3"/>
    <w:rsid w:val="006B04FE"/>
    <w:rsid w:val="006B0BC1"/>
    <w:rsid w:val="006B353E"/>
    <w:rsid w:val="006B3FFC"/>
    <w:rsid w:val="006B481B"/>
    <w:rsid w:val="006B6F6C"/>
    <w:rsid w:val="006B7C17"/>
    <w:rsid w:val="006C0411"/>
    <w:rsid w:val="006C2368"/>
    <w:rsid w:val="006C3B54"/>
    <w:rsid w:val="006C43CD"/>
    <w:rsid w:val="006C7605"/>
    <w:rsid w:val="006C793C"/>
    <w:rsid w:val="006C7BF1"/>
    <w:rsid w:val="006D126A"/>
    <w:rsid w:val="006D6459"/>
    <w:rsid w:val="006D6656"/>
    <w:rsid w:val="006E00F6"/>
    <w:rsid w:val="006E221C"/>
    <w:rsid w:val="006E2635"/>
    <w:rsid w:val="006E33C6"/>
    <w:rsid w:val="006E683F"/>
    <w:rsid w:val="006E7704"/>
    <w:rsid w:val="006F11FD"/>
    <w:rsid w:val="006F5387"/>
    <w:rsid w:val="006F7C61"/>
    <w:rsid w:val="00700385"/>
    <w:rsid w:val="007006AF"/>
    <w:rsid w:val="007012BE"/>
    <w:rsid w:val="007015EE"/>
    <w:rsid w:val="00703239"/>
    <w:rsid w:val="007040CE"/>
    <w:rsid w:val="007072A3"/>
    <w:rsid w:val="007101D5"/>
    <w:rsid w:val="0071205E"/>
    <w:rsid w:val="007133B4"/>
    <w:rsid w:val="00714909"/>
    <w:rsid w:val="00715775"/>
    <w:rsid w:val="007175E3"/>
    <w:rsid w:val="00717BD6"/>
    <w:rsid w:val="0072161C"/>
    <w:rsid w:val="00723D0D"/>
    <w:rsid w:val="007241FE"/>
    <w:rsid w:val="007243F0"/>
    <w:rsid w:val="007258BC"/>
    <w:rsid w:val="00725C49"/>
    <w:rsid w:val="00727A0A"/>
    <w:rsid w:val="00727CB2"/>
    <w:rsid w:val="0073088C"/>
    <w:rsid w:val="0073198F"/>
    <w:rsid w:val="00732CCC"/>
    <w:rsid w:val="00733ACD"/>
    <w:rsid w:val="00734D0D"/>
    <w:rsid w:val="0073576E"/>
    <w:rsid w:val="00735AB0"/>
    <w:rsid w:val="00736419"/>
    <w:rsid w:val="007407B2"/>
    <w:rsid w:val="00750072"/>
    <w:rsid w:val="00752C06"/>
    <w:rsid w:val="00752C3E"/>
    <w:rsid w:val="00753442"/>
    <w:rsid w:val="007535B6"/>
    <w:rsid w:val="00753AD3"/>
    <w:rsid w:val="007556ED"/>
    <w:rsid w:val="0076016D"/>
    <w:rsid w:val="00764A07"/>
    <w:rsid w:val="0076517B"/>
    <w:rsid w:val="007669A9"/>
    <w:rsid w:val="00767A3B"/>
    <w:rsid w:val="00767ECD"/>
    <w:rsid w:val="00770B09"/>
    <w:rsid w:val="00772922"/>
    <w:rsid w:val="007733E5"/>
    <w:rsid w:val="00773425"/>
    <w:rsid w:val="00773BE0"/>
    <w:rsid w:val="00774913"/>
    <w:rsid w:val="00776001"/>
    <w:rsid w:val="00783A4C"/>
    <w:rsid w:val="00783FA5"/>
    <w:rsid w:val="007847AC"/>
    <w:rsid w:val="007855D1"/>
    <w:rsid w:val="007871D1"/>
    <w:rsid w:val="00790310"/>
    <w:rsid w:val="00791AEA"/>
    <w:rsid w:val="0079447D"/>
    <w:rsid w:val="007979C7"/>
    <w:rsid w:val="007A0DAD"/>
    <w:rsid w:val="007A141B"/>
    <w:rsid w:val="007A2DC0"/>
    <w:rsid w:val="007A4790"/>
    <w:rsid w:val="007A57AE"/>
    <w:rsid w:val="007A6830"/>
    <w:rsid w:val="007B078C"/>
    <w:rsid w:val="007B3147"/>
    <w:rsid w:val="007B6E39"/>
    <w:rsid w:val="007C135A"/>
    <w:rsid w:val="007C5BAA"/>
    <w:rsid w:val="007C5CD6"/>
    <w:rsid w:val="007C7CF3"/>
    <w:rsid w:val="007C7DC6"/>
    <w:rsid w:val="007D01AF"/>
    <w:rsid w:val="007D0483"/>
    <w:rsid w:val="007D0992"/>
    <w:rsid w:val="007D0DE1"/>
    <w:rsid w:val="007D342C"/>
    <w:rsid w:val="007D4656"/>
    <w:rsid w:val="007D56E8"/>
    <w:rsid w:val="007E05F8"/>
    <w:rsid w:val="007E060C"/>
    <w:rsid w:val="007E1B6A"/>
    <w:rsid w:val="007E1F4C"/>
    <w:rsid w:val="007E26D5"/>
    <w:rsid w:val="007E49A4"/>
    <w:rsid w:val="007E58A3"/>
    <w:rsid w:val="007E60D9"/>
    <w:rsid w:val="007E79F4"/>
    <w:rsid w:val="007E7F00"/>
    <w:rsid w:val="007F0131"/>
    <w:rsid w:val="007F1592"/>
    <w:rsid w:val="007F6488"/>
    <w:rsid w:val="007F702F"/>
    <w:rsid w:val="0080096F"/>
    <w:rsid w:val="00802556"/>
    <w:rsid w:val="00805BE5"/>
    <w:rsid w:val="00807B99"/>
    <w:rsid w:val="00807D2C"/>
    <w:rsid w:val="00807FBB"/>
    <w:rsid w:val="00811B5B"/>
    <w:rsid w:val="00813D3A"/>
    <w:rsid w:val="00814C81"/>
    <w:rsid w:val="0081541C"/>
    <w:rsid w:val="00815B27"/>
    <w:rsid w:val="00816E53"/>
    <w:rsid w:val="00821DF1"/>
    <w:rsid w:val="0082423B"/>
    <w:rsid w:val="00824AC6"/>
    <w:rsid w:val="00825E5E"/>
    <w:rsid w:val="008263EC"/>
    <w:rsid w:val="00826999"/>
    <w:rsid w:val="008303A0"/>
    <w:rsid w:val="00831EF2"/>
    <w:rsid w:val="00832E95"/>
    <w:rsid w:val="0083318B"/>
    <w:rsid w:val="008333F8"/>
    <w:rsid w:val="00833582"/>
    <w:rsid w:val="0083538B"/>
    <w:rsid w:val="00837E10"/>
    <w:rsid w:val="00837FFB"/>
    <w:rsid w:val="008450B8"/>
    <w:rsid w:val="008450E6"/>
    <w:rsid w:val="00847386"/>
    <w:rsid w:val="00847579"/>
    <w:rsid w:val="0085010D"/>
    <w:rsid w:val="00850555"/>
    <w:rsid w:val="0085187C"/>
    <w:rsid w:val="00852FE5"/>
    <w:rsid w:val="00853C52"/>
    <w:rsid w:val="00853F66"/>
    <w:rsid w:val="00857E05"/>
    <w:rsid w:val="0086173B"/>
    <w:rsid w:val="008713B9"/>
    <w:rsid w:val="008716DA"/>
    <w:rsid w:val="008744BF"/>
    <w:rsid w:val="0087532A"/>
    <w:rsid w:val="00876A42"/>
    <w:rsid w:val="00877290"/>
    <w:rsid w:val="00877777"/>
    <w:rsid w:val="0088287D"/>
    <w:rsid w:val="00882A0D"/>
    <w:rsid w:val="0088754C"/>
    <w:rsid w:val="008906BA"/>
    <w:rsid w:val="008906D4"/>
    <w:rsid w:val="00890F39"/>
    <w:rsid w:val="00890FB8"/>
    <w:rsid w:val="00891129"/>
    <w:rsid w:val="008955FE"/>
    <w:rsid w:val="008969BF"/>
    <w:rsid w:val="008A1B43"/>
    <w:rsid w:val="008A2AA0"/>
    <w:rsid w:val="008A4CA1"/>
    <w:rsid w:val="008A59DC"/>
    <w:rsid w:val="008A5B79"/>
    <w:rsid w:val="008B321C"/>
    <w:rsid w:val="008B4351"/>
    <w:rsid w:val="008B4485"/>
    <w:rsid w:val="008C066A"/>
    <w:rsid w:val="008C0F70"/>
    <w:rsid w:val="008C1FAB"/>
    <w:rsid w:val="008C2340"/>
    <w:rsid w:val="008C4591"/>
    <w:rsid w:val="008C5A70"/>
    <w:rsid w:val="008C6364"/>
    <w:rsid w:val="008C6749"/>
    <w:rsid w:val="008D19FE"/>
    <w:rsid w:val="008D2FCE"/>
    <w:rsid w:val="008D67EB"/>
    <w:rsid w:val="008D7F9F"/>
    <w:rsid w:val="008E1CB2"/>
    <w:rsid w:val="008E2907"/>
    <w:rsid w:val="008E3D34"/>
    <w:rsid w:val="008F0878"/>
    <w:rsid w:val="008F3829"/>
    <w:rsid w:val="008F5FD4"/>
    <w:rsid w:val="008F679F"/>
    <w:rsid w:val="008F7167"/>
    <w:rsid w:val="009060D7"/>
    <w:rsid w:val="00907C2B"/>
    <w:rsid w:val="0091112A"/>
    <w:rsid w:val="00912726"/>
    <w:rsid w:val="009138C6"/>
    <w:rsid w:val="00914843"/>
    <w:rsid w:val="009154D9"/>
    <w:rsid w:val="00915C20"/>
    <w:rsid w:val="00916112"/>
    <w:rsid w:val="009162BA"/>
    <w:rsid w:val="00916F31"/>
    <w:rsid w:val="009171E5"/>
    <w:rsid w:val="009174CC"/>
    <w:rsid w:val="00922272"/>
    <w:rsid w:val="009226C4"/>
    <w:rsid w:val="0092399A"/>
    <w:rsid w:val="0092471E"/>
    <w:rsid w:val="00924E39"/>
    <w:rsid w:val="00925921"/>
    <w:rsid w:val="0092593E"/>
    <w:rsid w:val="00927406"/>
    <w:rsid w:val="00932DAD"/>
    <w:rsid w:val="00932EA6"/>
    <w:rsid w:val="00934A82"/>
    <w:rsid w:val="00935B6D"/>
    <w:rsid w:val="009366D4"/>
    <w:rsid w:val="0093705A"/>
    <w:rsid w:val="00942342"/>
    <w:rsid w:val="00942EC4"/>
    <w:rsid w:val="00944AAF"/>
    <w:rsid w:val="009462A8"/>
    <w:rsid w:val="00946470"/>
    <w:rsid w:val="0094756B"/>
    <w:rsid w:val="00950AC9"/>
    <w:rsid w:val="00951D4F"/>
    <w:rsid w:val="00955177"/>
    <w:rsid w:val="00955862"/>
    <w:rsid w:val="0095781D"/>
    <w:rsid w:val="00961A93"/>
    <w:rsid w:val="00962626"/>
    <w:rsid w:val="009635D0"/>
    <w:rsid w:val="00963636"/>
    <w:rsid w:val="00964807"/>
    <w:rsid w:val="00966198"/>
    <w:rsid w:val="00966C5E"/>
    <w:rsid w:val="00970F08"/>
    <w:rsid w:val="009740B1"/>
    <w:rsid w:val="009779D2"/>
    <w:rsid w:val="0098403F"/>
    <w:rsid w:val="0098748B"/>
    <w:rsid w:val="00991906"/>
    <w:rsid w:val="009919E7"/>
    <w:rsid w:val="0099282B"/>
    <w:rsid w:val="00993FB4"/>
    <w:rsid w:val="0099481C"/>
    <w:rsid w:val="00995A47"/>
    <w:rsid w:val="00995DC6"/>
    <w:rsid w:val="009963DD"/>
    <w:rsid w:val="00996910"/>
    <w:rsid w:val="00996E34"/>
    <w:rsid w:val="009977E8"/>
    <w:rsid w:val="009A2F11"/>
    <w:rsid w:val="009A37F0"/>
    <w:rsid w:val="009A41B2"/>
    <w:rsid w:val="009A4436"/>
    <w:rsid w:val="009A7A97"/>
    <w:rsid w:val="009B07E0"/>
    <w:rsid w:val="009B4276"/>
    <w:rsid w:val="009B4A75"/>
    <w:rsid w:val="009B52A9"/>
    <w:rsid w:val="009B56ED"/>
    <w:rsid w:val="009B786B"/>
    <w:rsid w:val="009B7E02"/>
    <w:rsid w:val="009C5423"/>
    <w:rsid w:val="009C5A32"/>
    <w:rsid w:val="009C5B8A"/>
    <w:rsid w:val="009C66A9"/>
    <w:rsid w:val="009C780E"/>
    <w:rsid w:val="009C79CD"/>
    <w:rsid w:val="009C7B96"/>
    <w:rsid w:val="009D192F"/>
    <w:rsid w:val="009D1C8F"/>
    <w:rsid w:val="009D2189"/>
    <w:rsid w:val="009D28C4"/>
    <w:rsid w:val="009D32E5"/>
    <w:rsid w:val="009D559B"/>
    <w:rsid w:val="009D686B"/>
    <w:rsid w:val="009E1342"/>
    <w:rsid w:val="009E184E"/>
    <w:rsid w:val="009E2B44"/>
    <w:rsid w:val="009E5DC4"/>
    <w:rsid w:val="009E6436"/>
    <w:rsid w:val="009E66D1"/>
    <w:rsid w:val="009F3F93"/>
    <w:rsid w:val="009F480D"/>
    <w:rsid w:val="009F4925"/>
    <w:rsid w:val="009F5853"/>
    <w:rsid w:val="009F6DFC"/>
    <w:rsid w:val="009F79BE"/>
    <w:rsid w:val="00A02EF6"/>
    <w:rsid w:val="00A05917"/>
    <w:rsid w:val="00A10E5D"/>
    <w:rsid w:val="00A110AF"/>
    <w:rsid w:val="00A11707"/>
    <w:rsid w:val="00A12189"/>
    <w:rsid w:val="00A17AAA"/>
    <w:rsid w:val="00A217E6"/>
    <w:rsid w:val="00A219D0"/>
    <w:rsid w:val="00A21F0E"/>
    <w:rsid w:val="00A257EC"/>
    <w:rsid w:val="00A25CD0"/>
    <w:rsid w:val="00A26C02"/>
    <w:rsid w:val="00A307FE"/>
    <w:rsid w:val="00A36431"/>
    <w:rsid w:val="00A40BAA"/>
    <w:rsid w:val="00A42469"/>
    <w:rsid w:val="00A4466D"/>
    <w:rsid w:val="00A452FD"/>
    <w:rsid w:val="00A53155"/>
    <w:rsid w:val="00A54B0C"/>
    <w:rsid w:val="00A54C16"/>
    <w:rsid w:val="00A56772"/>
    <w:rsid w:val="00A576ED"/>
    <w:rsid w:val="00A618B2"/>
    <w:rsid w:val="00A62310"/>
    <w:rsid w:val="00A62A4B"/>
    <w:rsid w:val="00A63667"/>
    <w:rsid w:val="00A6470E"/>
    <w:rsid w:val="00A6658D"/>
    <w:rsid w:val="00A66A4D"/>
    <w:rsid w:val="00A67A03"/>
    <w:rsid w:val="00A70D62"/>
    <w:rsid w:val="00A71B0E"/>
    <w:rsid w:val="00A77E0C"/>
    <w:rsid w:val="00A83846"/>
    <w:rsid w:val="00A8403D"/>
    <w:rsid w:val="00A9288D"/>
    <w:rsid w:val="00A953F2"/>
    <w:rsid w:val="00A97416"/>
    <w:rsid w:val="00AA0505"/>
    <w:rsid w:val="00AA0F03"/>
    <w:rsid w:val="00AA236B"/>
    <w:rsid w:val="00AA2538"/>
    <w:rsid w:val="00AA3ABF"/>
    <w:rsid w:val="00AA4D99"/>
    <w:rsid w:val="00AA68D6"/>
    <w:rsid w:val="00AA6AB4"/>
    <w:rsid w:val="00AA777E"/>
    <w:rsid w:val="00AB0A42"/>
    <w:rsid w:val="00AB0E61"/>
    <w:rsid w:val="00AB18B8"/>
    <w:rsid w:val="00AB3A03"/>
    <w:rsid w:val="00AB4EE3"/>
    <w:rsid w:val="00AC2186"/>
    <w:rsid w:val="00AC3701"/>
    <w:rsid w:val="00AC3723"/>
    <w:rsid w:val="00AC51D2"/>
    <w:rsid w:val="00AC6A58"/>
    <w:rsid w:val="00AC70A8"/>
    <w:rsid w:val="00AD0CCA"/>
    <w:rsid w:val="00AD1981"/>
    <w:rsid w:val="00AD1E38"/>
    <w:rsid w:val="00AD210F"/>
    <w:rsid w:val="00AD259C"/>
    <w:rsid w:val="00AD2963"/>
    <w:rsid w:val="00AD2D4D"/>
    <w:rsid w:val="00AD4223"/>
    <w:rsid w:val="00AD5282"/>
    <w:rsid w:val="00AD5A2A"/>
    <w:rsid w:val="00AD741D"/>
    <w:rsid w:val="00AE04C9"/>
    <w:rsid w:val="00AE1EF5"/>
    <w:rsid w:val="00AE5677"/>
    <w:rsid w:val="00AE57E0"/>
    <w:rsid w:val="00AE7ACD"/>
    <w:rsid w:val="00AE7B19"/>
    <w:rsid w:val="00AF26D7"/>
    <w:rsid w:val="00AF3863"/>
    <w:rsid w:val="00AF3FA9"/>
    <w:rsid w:val="00AF52AD"/>
    <w:rsid w:val="00AF5643"/>
    <w:rsid w:val="00B00288"/>
    <w:rsid w:val="00B005FB"/>
    <w:rsid w:val="00B02A41"/>
    <w:rsid w:val="00B036E6"/>
    <w:rsid w:val="00B03D2D"/>
    <w:rsid w:val="00B04B3E"/>
    <w:rsid w:val="00B0532D"/>
    <w:rsid w:val="00B06496"/>
    <w:rsid w:val="00B0682E"/>
    <w:rsid w:val="00B07395"/>
    <w:rsid w:val="00B0746B"/>
    <w:rsid w:val="00B0783D"/>
    <w:rsid w:val="00B07BF2"/>
    <w:rsid w:val="00B10B29"/>
    <w:rsid w:val="00B1110D"/>
    <w:rsid w:val="00B11787"/>
    <w:rsid w:val="00B131F7"/>
    <w:rsid w:val="00B13769"/>
    <w:rsid w:val="00B14C2A"/>
    <w:rsid w:val="00B15532"/>
    <w:rsid w:val="00B159FE"/>
    <w:rsid w:val="00B167C6"/>
    <w:rsid w:val="00B26915"/>
    <w:rsid w:val="00B30AF0"/>
    <w:rsid w:val="00B32000"/>
    <w:rsid w:val="00B33695"/>
    <w:rsid w:val="00B33F09"/>
    <w:rsid w:val="00B3589D"/>
    <w:rsid w:val="00B3626D"/>
    <w:rsid w:val="00B36E17"/>
    <w:rsid w:val="00B420DF"/>
    <w:rsid w:val="00B42C0C"/>
    <w:rsid w:val="00B42F63"/>
    <w:rsid w:val="00B46C69"/>
    <w:rsid w:val="00B46EDB"/>
    <w:rsid w:val="00B47495"/>
    <w:rsid w:val="00B52423"/>
    <w:rsid w:val="00B53F84"/>
    <w:rsid w:val="00B5657F"/>
    <w:rsid w:val="00B57C6B"/>
    <w:rsid w:val="00B60DC3"/>
    <w:rsid w:val="00B642E9"/>
    <w:rsid w:val="00B6448A"/>
    <w:rsid w:val="00B64E62"/>
    <w:rsid w:val="00B6518E"/>
    <w:rsid w:val="00B66A75"/>
    <w:rsid w:val="00B70596"/>
    <w:rsid w:val="00B70F5C"/>
    <w:rsid w:val="00B712BB"/>
    <w:rsid w:val="00B745EA"/>
    <w:rsid w:val="00B80A6D"/>
    <w:rsid w:val="00B81BCF"/>
    <w:rsid w:val="00B8270F"/>
    <w:rsid w:val="00B83F79"/>
    <w:rsid w:val="00B85887"/>
    <w:rsid w:val="00B87E81"/>
    <w:rsid w:val="00B91E88"/>
    <w:rsid w:val="00B950C4"/>
    <w:rsid w:val="00BA26F3"/>
    <w:rsid w:val="00BA6626"/>
    <w:rsid w:val="00BB0886"/>
    <w:rsid w:val="00BB0B89"/>
    <w:rsid w:val="00BB185F"/>
    <w:rsid w:val="00BB1DA6"/>
    <w:rsid w:val="00BB24A1"/>
    <w:rsid w:val="00BB37EA"/>
    <w:rsid w:val="00BB46B5"/>
    <w:rsid w:val="00BB6078"/>
    <w:rsid w:val="00BB6543"/>
    <w:rsid w:val="00BC3164"/>
    <w:rsid w:val="00BC32F9"/>
    <w:rsid w:val="00BC3D73"/>
    <w:rsid w:val="00BC4440"/>
    <w:rsid w:val="00BC67CD"/>
    <w:rsid w:val="00BD2B00"/>
    <w:rsid w:val="00BE0C03"/>
    <w:rsid w:val="00BE0EA9"/>
    <w:rsid w:val="00BE1F8F"/>
    <w:rsid w:val="00BE229A"/>
    <w:rsid w:val="00BE2F3B"/>
    <w:rsid w:val="00BE3598"/>
    <w:rsid w:val="00BE3753"/>
    <w:rsid w:val="00BE3CC9"/>
    <w:rsid w:val="00BF323F"/>
    <w:rsid w:val="00BF4108"/>
    <w:rsid w:val="00BF6538"/>
    <w:rsid w:val="00BF65A0"/>
    <w:rsid w:val="00BF7470"/>
    <w:rsid w:val="00C01B7A"/>
    <w:rsid w:val="00C0290E"/>
    <w:rsid w:val="00C04DBE"/>
    <w:rsid w:val="00C067CB"/>
    <w:rsid w:val="00C075A4"/>
    <w:rsid w:val="00C07C2A"/>
    <w:rsid w:val="00C07D2C"/>
    <w:rsid w:val="00C10F37"/>
    <w:rsid w:val="00C11DFD"/>
    <w:rsid w:val="00C123A3"/>
    <w:rsid w:val="00C146DA"/>
    <w:rsid w:val="00C17EC0"/>
    <w:rsid w:val="00C20A39"/>
    <w:rsid w:val="00C2343F"/>
    <w:rsid w:val="00C303BD"/>
    <w:rsid w:val="00C31055"/>
    <w:rsid w:val="00C33F10"/>
    <w:rsid w:val="00C34E05"/>
    <w:rsid w:val="00C3526A"/>
    <w:rsid w:val="00C42C91"/>
    <w:rsid w:val="00C44841"/>
    <w:rsid w:val="00C46D18"/>
    <w:rsid w:val="00C4768A"/>
    <w:rsid w:val="00C62101"/>
    <w:rsid w:val="00C66F6D"/>
    <w:rsid w:val="00C677D6"/>
    <w:rsid w:val="00C709E9"/>
    <w:rsid w:val="00C71D59"/>
    <w:rsid w:val="00C74071"/>
    <w:rsid w:val="00C7510B"/>
    <w:rsid w:val="00C76216"/>
    <w:rsid w:val="00C76754"/>
    <w:rsid w:val="00C76B46"/>
    <w:rsid w:val="00C774F2"/>
    <w:rsid w:val="00C774FB"/>
    <w:rsid w:val="00C77FE2"/>
    <w:rsid w:val="00C83B04"/>
    <w:rsid w:val="00C84E21"/>
    <w:rsid w:val="00C85036"/>
    <w:rsid w:val="00C86359"/>
    <w:rsid w:val="00C87856"/>
    <w:rsid w:val="00C914FA"/>
    <w:rsid w:val="00C93D09"/>
    <w:rsid w:val="00C965B0"/>
    <w:rsid w:val="00C97767"/>
    <w:rsid w:val="00CA029A"/>
    <w:rsid w:val="00CA4819"/>
    <w:rsid w:val="00CA5426"/>
    <w:rsid w:val="00CA71A6"/>
    <w:rsid w:val="00CB1551"/>
    <w:rsid w:val="00CB5746"/>
    <w:rsid w:val="00CB6603"/>
    <w:rsid w:val="00CB69D1"/>
    <w:rsid w:val="00CC321E"/>
    <w:rsid w:val="00CC34F6"/>
    <w:rsid w:val="00CC59C1"/>
    <w:rsid w:val="00CC6774"/>
    <w:rsid w:val="00CD0195"/>
    <w:rsid w:val="00CD1C49"/>
    <w:rsid w:val="00CD23B0"/>
    <w:rsid w:val="00CD4A7A"/>
    <w:rsid w:val="00CD517F"/>
    <w:rsid w:val="00CD6197"/>
    <w:rsid w:val="00CD7730"/>
    <w:rsid w:val="00CD7C77"/>
    <w:rsid w:val="00CE3496"/>
    <w:rsid w:val="00CE55DD"/>
    <w:rsid w:val="00CF2787"/>
    <w:rsid w:val="00CF3BB0"/>
    <w:rsid w:val="00CF5106"/>
    <w:rsid w:val="00CF5B3A"/>
    <w:rsid w:val="00D018A9"/>
    <w:rsid w:val="00D029E7"/>
    <w:rsid w:val="00D03EE8"/>
    <w:rsid w:val="00D07232"/>
    <w:rsid w:val="00D078B1"/>
    <w:rsid w:val="00D10A3B"/>
    <w:rsid w:val="00D11B85"/>
    <w:rsid w:val="00D1262E"/>
    <w:rsid w:val="00D12F2F"/>
    <w:rsid w:val="00D1419A"/>
    <w:rsid w:val="00D14A7F"/>
    <w:rsid w:val="00D15660"/>
    <w:rsid w:val="00D220AF"/>
    <w:rsid w:val="00D2402B"/>
    <w:rsid w:val="00D336C8"/>
    <w:rsid w:val="00D33958"/>
    <w:rsid w:val="00D355EF"/>
    <w:rsid w:val="00D35664"/>
    <w:rsid w:val="00D3589D"/>
    <w:rsid w:val="00D36257"/>
    <w:rsid w:val="00D3688A"/>
    <w:rsid w:val="00D36A33"/>
    <w:rsid w:val="00D4087A"/>
    <w:rsid w:val="00D41DD2"/>
    <w:rsid w:val="00D42690"/>
    <w:rsid w:val="00D46455"/>
    <w:rsid w:val="00D518DC"/>
    <w:rsid w:val="00D5222B"/>
    <w:rsid w:val="00D53ECA"/>
    <w:rsid w:val="00D571DF"/>
    <w:rsid w:val="00D57316"/>
    <w:rsid w:val="00D62D9B"/>
    <w:rsid w:val="00D64DCF"/>
    <w:rsid w:val="00D65DBB"/>
    <w:rsid w:val="00D662DF"/>
    <w:rsid w:val="00D668F7"/>
    <w:rsid w:val="00D6691D"/>
    <w:rsid w:val="00D6717B"/>
    <w:rsid w:val="00D67CF5"/>
    <w:rsid w:val="00D712D0"/>
    <w:rsid w:val="00D71647"/>
    <w:rsid w:val="00D72714"/>
    <w:rsid w:val="00D736C2"/>
    <w:rsid w:val="00D74E62"/>
    <w:rsid w:val="00D762EB"/>
    <w:rsid w:val="00D82FBB"/>
    <w:rsid w:val="00D8546E"/>
    <w:rsid w:val="00D85E5F"/>
    <w:rsid w:val="00D90996"/>
    <w:rsid w:val="00D9184C"/>
    <w:rsid w:val="00D94C7F"/>
    <w:rsid w:val="00D95F04"/>
    <w:rsid w:val="00D96788"/>
    <w:rsid w:val="00D974D7"/>
    <w:rsid w:val="00DA088F"/>
    <w:rsid w:val="00DA1A45"/>
    <w:rsid w:val="00DA36AB"/>
    <w:rsid w:val="00DB0734"/>
    <w:rsid w:val="00DB51D4"/>
    <w:rsid w:val="00DB5A79"/>
    <w:rsid w:val="00DB609B"/>
    <w:rsid w:val="00DB691A"/>
    <w:rsid w:val="00DB692F"/>
    <w:rsid w:val="00DB7711"/>
    <w:rsid w:val="00DC0A3E"/>
    <w:rsid w:val="00DC3040"/>
    <w:rsid w:val="00DC4D4A"/>
    <w:rsid w:val="00DD0FA5"/>
    <w:rsid w:val="00DD117E"/>
    <w:rsid w:val="00DD1F16"/>
    <w:rsid w:val="00DD2A6D"/>
    <w:rsid w:val="00DD3C53"/>
    <w:rsid w:val="00DD4E67"/>
    <w:rsid w:val="00DD5C15"/>
    <w:rsid w:val="00DD71A9"/>
    <w:rsid w:val="00DD7BCF"/>
    <w:rsid w:val="00DE096E"/>
    <w:rsid w:val="00DE0F43"/>
    <w:rsid w:val="00DE35CC"/>
    <w:rsid w:val="00DE4EFB"/>
    <w:rsid w:val="00DF10BC"/>
    <w:rsid w:val="00DF1D99"/>
    <w:rsid w:val="00DF4794"/>
    <w:rsid w:val="00DF4AB7"/>
    <w:rsid w:val="00E020C8"/>
    <w:rsid w:val="00E02724"/>
    <w:rsid w:val="00E039C8"/>
    <w:rsid w:val="00E04361"/>
    <w:rsid w:val="00E04EC9"/>
    <w:rsid w:val="00E05281"/>
    <w:rsid w:val="00E10621"/>
    <w:rsid w:val="00E1088E"/>
    <w:rsid w:val="00E125E0"/>
    <w:rsid w:val="00E12A7B"/>
    <w:rsid w:val="00E150E4"/>
    <w:rsid w:val="00E15BBD"/>
    <w:rsid w:val="00E179C0"/>
    <w:rsid w:val="00E226F3"/>
    <w:rsid w:val="00E25258"/>
    <w:rsid w:val="00E25793"/>
    <w:rsid w:val="00E259EF"/>
    <w:rsid w:val="00E27244"/>
    <w:rsid w:val="00E27DCB"/>
    <w:rsid w:val="00E27ED4"/>
    <w:rsid w:val="00E303EC"/>
    <w:rsid w:val="00E31084"/>
    <w:rsid w:val="00E31694"/>
    <w:rsid w:val="00E33112"/>
    <w:rsid w:val="00E33670"/>
    <w:rsid w:val="00E34085"/>
    <w:rsid w:val="00E372F7"/>
    <w:rsid w:val="00E41E1D"/>
    <w:rsid w:val="00E442C7"/>
    <w:rsid w:val="00E4524C"/>
    <w:rsid w:val="00E4693D"/>
    <w:rsid w:val="00E475C1"/>
    <w:rsid w:val="00E475E4"/>
    <w:rsid w:val="00E47A1F"/>
    <w:rsid w:val="00E50FF4"/>
    <w:rsid w:val="00E53291"/>
    <w:rsid w:val="00E555CF"/>
    <w:rsid w:val="00E55B91"/>
    <w:rsid w:val="00E55D73"/>
    <w:rsid w:val="00E56737"/>
    <w:rsid w:val="00E56BE8"/>
    <w:rsid w:val="00E6038C"/>
    <w:rsid w:val="00E61E70"/>
    <w:rsid w:val="00E61F37"/>
    <w:rsid w:val="00E66218"/>
    <w:rsid w:val="00E676DD"/>
    <w:rsid w:val="00E67D92"/>
    <w:rsid w:val="00E71C5E"/>
    <w:rsid w:val="00E72D0F"/>
    <w:rsid w:val="00E76D0B"/>
    <w:rsid w:val="00E7700C"/>
    <w:rsid w:val="00E7726D"/>
    <w:rsid w:val="00E77CC9"/>
    <w:rsid w:val="00E807E9"/>
    <w:rsid w:val="00E829C8"/>
    <w:rsid w:val="00E82C25"/>
    <w:rsid w:val="00E83774"/>
    <w:rsid w:val="00E83BE8"/>
    <w:rsid w:val="00E850E6"/>
    <w:rsid w:val="00E85402"/>
    <w:rsid w:val="00E8715C"/>
    <w:rsid w:val="00E90409"/>
    <w:rsid w:val="00E90CDE"/>
    <w:rsid w:val="00E92116"/>
    <w:rsid w:val="00E92118"/>
    <w:rsid w:val="00E93660"/>
    <w:rsid w:val="00E942A0"/>
    <w:rsid w:val="00E9451E"/>
    <w:rsid w:val="00E95F61"/>
    <w:rsid w:val="00E95F9A"/>
    <w:rsid w:val="00E96CAF"/>
    <w:rsid w:val="00EA3E09"/>
    <w:rsid w:val="00EA47DF"/>
    <w:rsid w:val="00EA6CB2"/>
    <w:rsid w:val="00EB2627"/>
    <w:rsid w:val="00EB26BE"/>
    <w:rsid w:val="00EB44B3"/>
    <w:rsid w:val="00EB4A4A"/>
    <w:rsid w:val="00EC00B2"/>
    <w:rsid w:val="00EC147D"/>
    <w:rsid w:val="00EC3483"/>
    <w:rsid w:val="00ED1B5D"/>
    <w:rsid w:val="00ED2179"/>
    <w:rsid w:val="00ED69EE"/>
    <w:rsid w:val="00ED7361"/>
    <w:rsid w:val="00ED74EC"/>
    <w:rsid w:val="00EE0209"/>
    <w:rsid w:val="00EE2D23"/>
    <w:rsid w:val="00EE3B92"/>
    <w:rsid w:val="00EE3B94"/>
    <w:rsid w:val="00EE4517"/>
    <w:rsid w:val="00EE626E"/>
    <w:rsid w:val="00EE6DB4"/>
    <w:rsid w:val="00EE74A9"/>
    <w:rsid w:val="00EE786D"/>
    <w:rsid w:val="00EF2984"/>
    <w:rsid w:val="00EF3B39"/>
    <w:rsid w:val="00F010E0"/>
    <w:rsid w:val="00F0168C"/>
    <w:rsid w:val="00F02092"/>
    <w:rsid w:val="00F04E06"/>
    <w:rsid w:val="00F06E67"/>
    <w:rsid w:val="00F11C44"/>
    <w:rsid w:val="00F164EC"/>
    <w:rsid w:val="00F16D81"/>
    <w:rsid w:val="00F20BB0"/>
    <w:rsid w:val="00F231ED"/>
    <w:rsid w:val="00F232DF"/>
    <w:rsid w:val="00F23CEA"/>
    <w:rsid w:val="00F248B6"/>
    <w:rsid w:val="00F26C5B"/>
    <w:rsid w:val="00F2705C"/>
    <w:rsid w:val="00F313ED"/>
    <w:rsid w:val="00F3207C"/>
    <w:rsid w:val="00F33B68"/>
    <w:rsid w:val="00F34418"/>
    <w:rsid w:val="00F366AD"/>
    <w:rsid w:val="00F40E3B"/>
    <w:rsid w:val="00F41390"/>
    <w:rsid w:val="00F4154B"/>
    <w:rsid w:val="00F41564"/>
    <w:rsid w:val="00F4242F"/>
    <w:rsid w:val="00F43733"/>
    <w:rsid w:val="00F448FB"/>
    <w:rsid w:val="00F44FE2"/>
    <w:rsid w:val="00F45679"/>
    <w:rsid w:val="00F47D51"/>
    <w:rsid w:val="00F50027"/>
    <w:rsid w:val="00F511AC"/>
    <w:rsid w:val="00F529FD"/>
    <w:rsid w:val="00F554C0"/>
    <w:rsid w:val="00F56BF5"/>
    <w:rsid w:val="00F606F6"/>
    <w:rsid w:val="00F60D17"/>
    <w:rsid w:val="00F61A6F"/>
    <w:rsid w:val="00F62993"/>
    <w:rsid w:val="00F6419C"/>
    <w:rsid w:val="00F64374"/>
    <w:rsid w:val="00F644F6"/>
    <w:rsid w:val="00F64CC8"/>
    <w:rsid w:val="00F70398"/>
    <w:rsid w:val="00F71ABF"/>
    <w:rsid w:val="00F75C94"/>
    <w:rsid w:val="00F77DF2"/>
    <w:rsid w:val="00F77FDA"/>
    <w:rsid w:val="00F84006"/>
    <w:rsid w:val="00F852D5"/>
    <w:rsid w:val="00F8660E"/>
    <w:rsid w:val="00F92FEB"/>
    <w:rsid w:val="00F96BFD"/>
    <w:rsid w:val="00FA0FAB"/>
    <w:rsid w:val="00FA2717"/>
    <w:rsid w:val="00FA3505"/>
    <w:rsid w:val="00FA3928"/>
    <w:rsid w:val="00FA56DC"/>
    <w:rsid w:val="00FA6249"/>
    <w:rsid w:val="00FB05D0"/>
    <w:rsid w:val="00FB1057"/>
    <w:rsid w:val="00FB10EE"/>
    <w:rsid w:val="00FB1799"/>
    <w:rsid w:val="00FB17E9"/>
    <w:rsid w:val="00FB182E"/>
    <w:rsid w:val="00FB2EB6"/>
    <w:rsid w:val="00FB310F"/>
    <w:rsid w:val="00FB343B"/>
    <w:rsid w:val="00FB64EB"/>
    <w:rsid w:val="00FB7877"/>
    <w:rsid w:val="00FC0D1B"/>
    <w:rsid w:val="00FC1F59"/>
    <w:rsid w:val="00FC2FA3"/>
    <w:rsid w:val="00FC53FC"/>
    <w:rsid w:val="00FC78B7"/>
    <w:rsid w:val="00FD1F24"/>
    <w:rsid w:val="00FD379F"/>
    <w:rsid w:val="00FD602B"/>
    <w:rsid w:val="00FD734B"/>
    <w:rsid w:val="00FE127A"/>
    <w:rsid w:val="00FE1C5D"/>
    <w:rsid w:val="00FE3A5A"/>
    <w:rsid w:val="00FE5562"/>
    <w:rsid w:val="00FE639A"/>
    <w:rsid w:val="00FE69F3"/>
    <w:rsid w:val="00FE6E1D"/>
    <w:rsid w:val="00FF0699"/>
    <w:rsid w:val="00FF0830"/>
    <w:rsid w:val="00FF1D73"/>
    <w:rsid w:val="00FF1D9D"/>
    <w:rsid w:val="00FF47F9"/>
    <w:rsid w:val="00FF4A61"/>
    <w:rsid w:val="00FF56C5"/>
    <w:rsid w:val="00FF6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61D8"/>
  <w15:docId w15:val="{7F8D6A61-3FBB-4429-891E-D41A3346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290"/>
    <w:pPr>
      <w:spacing w:line="240" w:lineRule="auto"/>
    </w:pPr>
    <w:rPr>
      <w:rFonts w:eastAsia="Calibri" w:cs="Times New Roman"/>
    </w:rPr>
  </w:style>
  <w:style w:type="paragraph" w:styleId="Heading1">
    <w:name w:val="heading 1"/>
    <w:basedOn w:val="Normal"/>
    <w:next w:val="Normal"/>
    <w:link w:val="Heading1Char"/>
    <w:uiPriority w:val="9"/>
    <w:qFormat/>
    <w:rsid w:val="00773BE0"/>
    <w:pPr>
      <w:keepNext/>
      <w:spacing w:before="240" w:after="60"/>
      <w:outlineLvl w:val="0"/>
    </w:pPr>
    <w:rPr>
      <w:rFonts w:eastAsiaTheme="majorEastAsia"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BE0"/>
    <w:rPr>
      <w:rFonts w:eastAsiaTheme="majorEastAsia" w:cstheme="majorBidi"/>
      <w:b/>
      <w:bCs/>
      <w:kern w:val="32"/>
      <w:sz w:val="32"/>
      <w:szCs w:val="32"/>
    </w:rPr>
  </w:style>
  <w:style w:type="paragraph" w:styleId="Header">
    <w:name w:val="header"/>
    <w:basedOn w:val="Normal"/>
    <w:link w:val="HeaderChar"/>
    <w:uiPriority w:val="99"/>
    <w:unhideWhenUsed/>
    <w:rsid w:val="00403DF1"/>
    <w:pPr>
      <w:tabs>
        <w:tab w:val="center" w:pos="4513"/>
        <w:tab w:val="right" w:pos="9026"/>
      </w:tabs>
    </w:pPr>
  </w:style>
  <w:style w:type="character" w:customStyle="1" w:styleId="HeaderChar">
    <w:name w:val="Header Char"/>
    <w:basedOn w:val="DefaultParagraphFont"/>
    <w:link w:val="Header"/>
    <w:uiPriority w:val="99"/>
    <w:rsid w:val="00403DF1"/>
    <w:rPr>
      <w:rFonts w:eastAsia="Calibri" w:cs="Times New Roman"/>
    </w:rPr>
  </w:style>
  <w:style w:type="paragraph" w:styleId="Footer">
    <w:name w:val="footer"/>
    <w:basedOn w:val="Normal"/>
    <w:link w:val="FooterChar"/>
    <w:uiPriority w:val="99"/>
    <w:unhideWhenUsed/>
    <w:rsid w:val="00403DF1"/>
    <w:pPr>
      <w:tabs>
        <w:tab w:val="center" w:pos="4513"/>
        <w:tab w:val="right" w:pos="9026"/>
      </w:tabs>
    </w:pPr>
  </w:style>
  <w:style w:type="character" w:customStyle="1" w:styleId="FooterChar">
    <w:name w:val="Footer Char"/>
    <w:basedOn w:val="DefaultParagraphFont"/>
    <w:link w:val="Footer"/>
    <w:uiPriority w:val="99"/>
    <w:rsid w:val="00403DF1"/>
    <w:rPr>
      <w:rFonts w:eastAsia="Calibri" w:cs="Times New Roman"/>
    </w:rPr>
  </w:style>
  <w:style w:type="paragraph" w:styleId="BalloonText">
    <w:name w:val="Balloon Text"/>
    <w:basedOn w:val="Normal"/>
    <w:link w:val="BalloonTextChar"/>
    <w:uiPriority w:val="99"/>
    <w:semiHidden/>
    <w:unhideWhenUsed/>
    <w:rsid w:val="00AD210F"/>
    <w:rPr>
      <w:rFonts w:ascii="Tahoma" w:hAnsi="Tahoma" w:cs="Tahoma"/>
      <w:sz w:val="16"/>
      <w:szCs w:val="16"/>
    </w:rPr>
  </w:style>
  <w:style w:type="character" w:customStyle="1" w:styleId="BalloonTextChar">
    <w:name w:val="Balloon Text Char"/>
    <w:basedOn w:val="DefaultParagraphFont"/>
    <w:link w:val="BalloonText"/>
    <w:uiPriority w:val="99"/>
    <w:semiHidden/>
    <w:rsid w:val="00AD210F"/>
    <w:rPr>
      <w:rFonts w:ascii="Tahoma" w:eastAsia="Calibri" w:hAnsi="Tahoma" w:cs="Tahoma"/>
      <w:sz w:val="16"/>
      <w:szCs w:val="16"/>
    </w:rPr>
  </w:style>
  <w:style w:type="character" w:styleId="Hyperlink">
    <w:name w:val="Hyperlink"/>
    <w:basedOn w:val="DefaultParagraphFont"/>
    <w:uiPriority w:val="99"/>
    <w:unhideWhenUsed/>
    <w:rsid w:val="001B0BCD"/>
    <w:rPr>
      <w:color w:val="0000FF" w:themeColor="hyperlink"/>
      <w:u w:val="single"/>
    </w:rPr>
  </w:style>
  <w:style w:type="character" w:styleId="FollowedHyperlink">
    <w:name w:val="FollowedHyperlink"/>
    <w:basedOn w:val="DefaultParagraphFont"/>
    <w:uiPriority w:val="99"/>
    <w:semiHidden/>
    <w:unhideWhenUsed/>
    <w:rsid w:val="00C17EC0"/>
    <w:rPr>
      <w:color w:val="800080" w:themeColor="followedHyperlink"/>
      <w:u w:val="single"/>
    </w:rPr>
  </w:style>
  <w:style w:type="paragraph" w:styleId="ListParagraph">
    <w:name w:val="List Paragraph"/>
    <w:basedOn w:val="Normal"/>
    <w:uiPriority w:val="34"/>
    <w:qFormat/>
    <w:rsid w:val="005F6BB9"/>
    <w:pPr>
      <w:ind w:left="720"/>
      <w:contextualSpacing/>
    </w:pPr>
  </w:style>
  <w:style w:type="paragraph" w:styleId="NormalWeb">
    <w:name w:val="Normal (Web)"/>
    <w:basedOn w:val="Normal"/>
    <w:uiPriority w:val="99"/>
    <w:unhideWhenUsed/>
    <w:rsid w:val="009C66A9"/>
    <w:rPr>
      <w:rFonts w:ascii="Times New Roman" w:eastAsiaTheme="minorHAnsi" w:hAnsi="Times New Roman"/>
      <w:sz w:val="24"/>
      <w:szCs w:val="24"/>
      <w:lang w:eastAsia="en-GB"/>
    </w:rPr>
  </w:style>
  <w:style w:type="character" w:styleId="CommentReference">
    <w:name w:val="annotation reference"/>
    <w:basedOn w:val="DefaultParagraphFont"/>
    <w:uiPriority w:val="99"/>
    <w:semiHidden/>
    <w:unhideWhenUsed/>
    <w:rsid w:val="00AF5643"/>
    <w:rPr>
      <w:sz w:val="16"/>
      <w:szCs w:val="16"/>
    </w:rPr>
  </w:style>
  <w:style w:type="paragraph" w:styleId="CommentText">
    <w:name w:val="annotation text"/>
    <w:basedOn w:val="Normal"/>
    <w:link w:val="CommentTextChar"/>
    <w:uiPriority w:val="99"/>
    <w:unhideWhenUsed/>
    <w:rsid w:val="00AF5643"/>
    <w:rPr>
      <w:sz w:val="20"/>
      <w:szCs w:val="20"/>
    </w:rPr>
  </w:style>
  <w:style w:type="character" w:customStyle="1" w:styleId="CommentTextChar">
    <w:name w:val="Comment Text Char"/>
    <w:basedOn w:val="DefaultParagraphFont"/>
    <w:link w:val="CommentText"/>
    <w:uiPriority w:val="99"/>
    <w:rsid w:val="00AF5643"/>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F5643"/>
    <w:rPr>
      <w:b/>
      <w:bCs/>
    </w:rPr>
  </w:style>
  <w:style w:type="character" w:customStyle="1" w:styleId="CommentSubjectChar">
    <w:name w:val="Comment Subject Char"/>
    <w:basedOn w:val="CommentTextChar"/>
    <w:link w:val="CommentSubject"/>
    <w:uiPriority w:val="99"/>
    <w:semiHidden/>
    <w:rsid w:val="00AF5643"/>
    <w:rPr>
      <w:rFonts w:eastAsia="Calibri" w:cs="Times New Roman"/>
      <w:b/>
      <w:bCs/>
      <w:sz w:val="20"/>
      <w:szCs w:val="20"/>
    </w:rPr>
  </w:style>
  <w:style w:type="paragraph" w:customStyle="1" w:styleId="Default">
    <w:name w:val="Default"/>
    <w:rsid w:val="004312B2"/>
    <w:pPr>
      <w:autoSpaceDE w:val="0"/>
      <w:autoSpaceDN w:val="0"/>
      <w:adjustRightInd w:val="0"/>
      <w:spacing w:line="240" w:lineRule="auto"/>
    </w:pPr>
    <w:rPr>
      <w:rFonts w:ascii="Times New Roman" w:hAnsi="Times New Roman" w:cs="Times New Roman"/>
      <w:color w:val="000000"/>
      <w:sz w:val="24"/>
      <w:szCs w:val="24"/>
    </w:rPr>
  </w:style>
  <w:style w:type="paragraph" w:styleId="Revision">
    <w:name w:val="Revision"/>
    <w:hidden/>
    <w:uiPriority w:val="99"/>
    <w:semiHidden/>
    <w:rsid w:val="004312B2"/>
    <w:pPr>
      <w:spacing w:line="240" w:lineRule="auto"/>
    </w:pPr>
    <w:rPr>
      <w:rFonts w:eastAsia="Calibri" w:cs="Times New Roman"/>
    </w:rPr>
  </w:style>
  <w:style w:type="table" w:styleId="TableGrid">
    <w:name w:val="Table Grid"/>
    <w:basedOn w:val="TableNormal"/>
    <w:uiPriority w:val="59"/>
    <w:rsid w:val="009D32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06776">
      <w:bodyDiv w:val="1"/>
      <w:marLeft w:val="0"/>
      <w:marRight w:val="0"/>
      <w:marTop w:val="0"/>
      <w:marBottom w:val="0"/>
      <w:divBdr>
        <w:top w:val="none" w:sz="0" w:space="0" w:color="auto"/>
        <w:left w:val="none" w:sz="0" w:space="0" w:color="auto"/>
        <w:bottom w:val="none" w:sz="0" w:space="0" w:color="auto"/>
        <w:right w:val="none" w:sz="0" w:space="0" w:color="auto"/>
      </w:divBdr>
    </w:div>
    <w:div w:id="761100931">
      <w:bodyDiv w:val="1"/>
      <w:marLeft w:val="0"/>
      <w:marRight w:val="0"/>
      <w:marTop w:val="0"/>
      <w:marBottom w:val="0"/>
      <w:divBdr>
        <w:top w:val="none" w:sz="0" w:space="0" w:color="auto"/>
        <w:left w:val="none" w:sz="0" w:space="0" w:color="auto"/>
        <w:bottom w:val="none" w:sz="0" w:space="0" w:color="auto"/>
        <w:right w:val="none" w:sz="0" w:space="0" w:color="auto"/>
      </w:divBdr>
    </w:div>
    <w:div w:id="818885193">
      <w:bodyDiv w:val="1"/>
      <w:marLeft w:val="0"/>
      <w:marRight w:val="0"/>
      <w:marTop w:val="0"/>
      <w:marBottom w:val="0"/>
      <w:divBdr>
        <w:top w:val="none" w:sz="0" w:space="0" w:color="auto"/>
        <w:left w:val="none" w:sz="0" w:space="0" w:color="auto"/>
        <w:bottom w:val="none" w:sz="0" w:space="0" w:color="auto"/>
        <w:right w:val="none" w:sz="0" w:space="0" w:color="auto"/>
      </w:divBdr>
    </w:div>
    <w:div w:id="1830097022">
      <w:bodyDiv w:val="1"/>
      <w:marLeft w:val="0"/>
      <w:marRight w:val="0"/>
      <w:marTop w:val="0"/>
      <w:marBottom w:val="0"/>
      <w:divBdr>
        <w:top w:val="none" w:sz="0" w:space="0" w:color="auto"/>
        <w:left w:val="none" w:sz="0" w:space="0" w:color="auto"/>
        <w:bottom w:val="none" w:sz="0" w:space="0" w:color="auto"/>
        <w:right w:val="none" w:sz="0" w:space="0" w:color="auto"/>
      </w:divBdr>
    </w:div>
    <w:div w:id="1919055181">
      <w:bodyDiv w:val="1"/>
      <w:marLeft w:val="0"/>
      <w:marRight w:val="0"/>
      <w:marTop w:val="0"/>
      <w:marBottom w:val="0"/>
      <w:divBdr>
        <w:top w:val="none" w:sz="0" w:space="0" w:color="auto"/>
        <w:left w:val="none" w:sz="0" w:space="0" w:color="auto"/>
        <w:bottom w:val="none" w:sz="0" w:space="0" w:color="auto"/>
        <w:right w:val="none" w:sz="0" w:space="0" w:color="auto"/>
      </w:divBdr>
    </w:div>
    <w:div w:id="206833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135B0-FCF4-496F-A1A9-AE25D455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6358</Words>
  <Characters>36242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East Sussex Fire &amp; Rescue Service</Company>
  <LinksUpToDate>false</LinksUpToDate>
  <CharactersWithSpaces>42515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sklein</dc:creator>
  <cp:keywords/>
  <dc:description/>
  <cp:lastModifiedBy>Alison Avery</cp:lastModifiedBy>
  <cp:revision>3</cp:revision>
  <cp:lastPrinted>2015-06-03T11:48:00Z</cp:lastPrinted>
  <dcterms:created xsi:type="dcterms:W3CDTF">2024-01-03T14:31:00Z</dcterms:created>
  <dcterms:modified xsi:type="dcterms:W3CDTF">2024-01-08T17:42:00Z</dcterms:modified>
</cp:coreProperties>
</file>